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AF5" w:rsidRPr="00F75263" w:rsidRDefault="008D7AF5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5E4D0B" w:rsidRPr="005E4D0B" w:rsidRDefault="005E4D0B" w:rsidP="005E4D0B">
      <w:pPr>
        <w:spacing w:before="60" w:after="60"/>
        <w:ind w:left="-142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525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96"/>
        <w:gridCol w:w="2549"/>
        <w:gridCol w:w="4415"/>
      </w:tblGrid>
      <w:tr w:rsidR="005E4D0B" w:rsidRPr="005E4D0B" w:rsidTr="005435A0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5E4D0B" w:rsidRPr="005E4D0B" w:rsidRDefault="005E4D0B" w:rsidP="005E4D0B">
            <w:pPr>
              <w:spacing w:before="120" w:after="12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PLAN DZIAŁANIA NA ROK 2021</w:t>
            </w:r>
          </w:p>
        </w:tc>
      </w:tr>
      <w:tr w:rsidR="005E4D0B" w:rsidRPr="005E4D0B" w:rsidTr="005435A0">
        <w:trPr>
          <w:trHeight w:val="218"/>
          <w:jc w:val="center"/>
        </w:trPr>
        <w:tc>
          <w:tcPr>
            <w:tcW w:w="273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5E4D0B" w:rsidRPr="005E4D0B" w:rsidRDefault="005E4D0B" w:rsidP="005E4D0B">
            <w:pPr>
              <w:spacing w:before="120" w:after="12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5E4D0B">
              <w:rPr>
                <w:rFonts w:ascii="Arial" w:hAnsi="Arial" w:cs="Arial"/>
                <w:b/>
                <w:color w:val="FFFFFF"/>
                <w:sz w:val="24"/>
                <w:szCs w:val="24"/>
              </w:rPr>
              <w:t>WERSJA PLANU DZIAŁANIA</w:t>
            </w:r>
          </w:p>
        </w:tc>
        <w:tc>
          <w:tcPr>
            <w:tcW w:w="2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E4D0B" w:rsidRPr="005E4D0B" w:rsidRDefault="005E4D0B" w:rsidP="005E4D0B">
            <w:pPr>
              <w:spacing w:before="12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2021/1</w:t>
            </w:r>
          </w:p>
        </w:tc>
      </w:tr>
      <w:tr w:rsidR="005E4D0B" w:rsidRPr="005E4D0B" w:rsidTr="005435A0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5E4D0B" w:rsidRPr="005E4D0B" w:rsidRDefault="005E4D0B" w:rsidP="005E4D0B">
            <w:pPr>
              <w:spacing w:before="120" w:after="12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5E4D0B">
              <w:rPr>
                <w:rFonts w:ascii="Arial" w:hAnsi="Arial" w:cs="Arial"/>
                <w:b/>
                <w:color w:val="FFFFFF"/>
                <w:sz w:val="24"/>
                <w:szCs w:val="24"/>
              </w:rPr>
              <w:t>INFORMACJE O INSTYTUCJI OPRACOWUJĄCEJ PLAN DZIAŁANIA</w:t>
            </w:r>
          </w:p>
        </w:tc>
      </w:tr>
      <w:tr w:rsidR="005E4D0B" w:rsidRPr="005E4D0B" w:rsidTr="005435A0">
        <w:trPr>
          <w:trHeight w:val="567"/>
          <w:jc w:val="center"/>
        </w:trPr>
        <w:tc>
          <w:tcPr>
            <w:tcW w:w="143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5E4D0B" w:rsidRPr="005E4D0B" w:rsidRDefault="005E4D0B" w:rsidP="005E4D0B">
            <w:pPr>
              <w:spacing w:before="60" w:after="6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5E4D0B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Numer i nazwa </w:t>
            </w:r>
            <w:r w:rsidRPr="005E4D0B">
              <w:rPr>
                <w:rFonts w:ascii="Arial" w:hAnsi="Arial" w:cs="Arial"/>
                <w:b/>
                <w:color w:val="FFFFFF"/>
                <w:sz w:val="24"/>
                <w:szCs w:val="24"/>
              </w:rPr>
              <w:br/>
              <w:t xml:space="preserve">osi priorytetowej </w:t>
            </w:r>
          </w:p>
        </w:tc>
        <w:tc>
          <w:tcPr>
            <w:tcW w:w="3568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E4D0B" w:rsidRPr="005E4D0B" w:rsidRDefault="005E4D0B" w:rsidP="005E4D0B">
            <w:pPr>
              <w:spacing w:before="60" w:after="60" w:line="360" w:lineRule="auto"/>
              <w:rPr>
                <w:rFonts w:ascii="Arial" w:hAnsi="Arial" w:cs="Arial"/>
                <w:sz w:val="24"/>
                <w:szCs w:val="24"/>
              </w:rPr>
            </w:pPr>
            <w:r w:rsidRPr="005E4D0B">
              <w:rPr>
                <w:rFonts w:ascii="Arial" w:hAnsi="Arial" w:cs="Arial"/>
                <w:sz w:val="24"/>
                <w:szCs w:val="24"/>
                <w:lang w:eastAsia="pl-PL"/>
              </w:rPr>
              <w:t>Oś III Szkolnictwo wyższe dla gospodarki i rozwoju</w:t>
            </w:r>
          </w:p>
        </w:tc>
      </w:tr>
      <w:tr w:rsidR="005E4D0B" w:rsidRPr="005E4D0B" w:rsidTr="005435A0">
        <w:trPr>
          <w:trHeight w:val="567"/>
          <w:jc w:val="center"/>
        </w:trPr>
        <w:tc>
          <w:tcPr>
            <w:tcW w:w="14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5E4D0B" w:rsidRPr="005E4D0B" w:rsidRDefault="005E4D0B" w:rsidP="005E4D0B">
            <w:pPr>
              <w:spacing w:before="60" w:after="6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5E4D0B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Instytucja </w:t>
            </w:r>
          </w:p>
        </w:tc>
        <w:tc>
          <w:tcPr>
            <w:tcW w:w="3568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E4D0B" w:rsidRPr="005E4D0B" w:rsidRDefault="005E4D0B" w:rsidP="005E4D0B">
            <w:pPr>
              <w:spacing w:before="60" w:after="60" w:line="360" w:lineRule="auto"/>
              <w:rPr>
                <w:rFonts w:ascii="Arial" w:hAnsi="Arial" w:cs="Arial"/>
                <w:sz w:val="24"/>
                <w:szCs w:val="24"/>
              </w:rPr>
            </w:pPr>
            <w:r w:rsidRPr="005E4D0B">
              <w:rPr>
                <w:rFonts w:ascii="Arial" w:hAnsi="Arial" w:cs="Arial"/>
                <w:sz w:val="24"/>
                <w:szCs w:val="24"/>
              </w:rPr>
              <w:t>Narodowe Centrum Badań i Rozwoju</w:t>
            </w:r>
          </w:p>
        </w:tc>
      </w:tr>
      <w:tr w:rsidR="005E4D0B" w:rsidRPr="005E4D0B" w:rsidTr="005435A0">
        <w:trPr>
          <w:trHeight w:val="567"/>
          <w:jc w:val="center"/>
        </w:trPr>
        <w:tc>
          <w:tcPr>
            <w:tcW w:w="14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5E4D0B" w:rsidRPr="005E4D0B" w:rsidRDefault="005E4D0B" w:rsidP="005E4D0B">
            <w:pPr>
              <w:spacing w:before="60" w:after="6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5E4D0B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Adres korespondencyjny </w:t>
            </w:r>
          </w:p>
        </w:tc>
        <w:tc>
          <w:tcPr>
            <w:tcW w:w="3568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E4D0B" w:rsidRPr="005E4D0B" w:rsidRDefault="005E4D0B" w:rsidP="005E4D0B">
            <w:pPr>
              <w:spacing w:before="60" w:after="60" w:line="360" w:lineRule="auto"/>
              <w:rPr>
                <w:rFonts w:ascii="Arial" w:hAnsi="Arial" w:cs="Arial"/>
                <w:sz w:val="24"/>
                <w:szCs w:val="24"/>
              </w:rPr>
            </w:pPr>
            <w:r w:rsidRPr="005E4D0B">
              <w:rPr>
                <w:rFonts w:ascii="Arial" w:hAnsi="Arial" w:cs="Arial"/>
                <w:sz w:val="24"/>
                <w:szCs w:val="24"/>
              </w:rPr>
              <w:t>ul. Nowogrodzka 47 a, 00-695 Warszawa</w:t>
            </w:r>
          </w:p>
        </w:tc>
      </w:tr>
      <w:tr w:rsidR="005E4D0B" w:rsidRPr="005E4D0B" w:rsidTr="005435A0">
        <w:trPr>
          <w:trHeight w:val="567"/>
          <w:jc w:val="center"/>
        </w:trPr>
        <w:tc>
          <w:tcPr>
            <w:tcW w:w="14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5E4D0B" w:rsidRPr="005E4D0B" w:rsidRDefault="005E4D0B" w:rsidP="005E4D0B">
            <w:pPr>
              <w:spacing w:before="60" w:after="6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5E4D0B">
              <w:rPr>
                <w:rFonts w:ascii="Arial" w:hAnsi="Arial" w:cs="Arial"/>
                <w:b/>
                <w:color w:val="FFFFFF"/>
                <w:sz w:val="24"/>
                <w:szCs w:val="24"/>
              </w:rPr>
              <w:t>Telefon</w:t>
            </w:r>
          </w:p>
        </w:tc>
        <w:tc>
          <w:tcPr>
            <w:tcW w:w="3568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E4D0B" w:rsidRPr="005E4D0B" w:rsidRDefault="005E4D0B" w:rsidP="005E4D0B">
            <w:pPr>
              <w:spacing w:before="60" w:after="60" w:line="360" w:lineRule="auto"/>
              <w:rPr>
                <w:rFonts w:ascii="Arial" w:hAnsi="Arial" w:cs="Arial"/>
                <w:sz w:val="24"/>
                <w:szCs w:val="24"/>
              </w:rPr>
            </w:pPr>
            <w:r w:rsidRPr="005E4D0B">
              <w:rPr>
                <w:rFonts w:ascii="Arial" w:hAnsi="Arial" w:cs="Arial"/>
                <w:sz w:val="24"/>
                <w:szCs w:val="24"/>
              </w:rPr>
              <w:t>22 39 07 300</w:t>
            </w:r>
          </w:p>
        </w:tc>
      </w:tr>
      <w:tr w:rsidR="005E4D0B" w:rsidRPr="005E4D0B" w:rsidTr="005435A0">
        <w:trPr>
          <w:trHeight w:val="567"/>
          <w:jc w:val="center"/>
        </w:trPr>
        <w:tc>
          <w:tcPr>
            <w:tcW w:w="14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5E4D0B" w:rsidRPr="005E4D0B" w:rsidRDefault="005E4D0B" w:rsidP="005E4D0B">
            <w:pPr>
              <w:spacing w:before="60" w:after="6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5E4D0B">
              <w:rPr>
                <w:rFonts w:ascii="Arial" w:hAnsi="Arial" w:cs="Arial"/>
                <w:b/>
                <w:color w:val="FFFFFF"/>
                <w:sz w:val="24"/>
                <w:szCs w:val="24"/>
              </w:rPr>
              <w:t>Faks</w:t>
            </w:r>
          </w:p>
        </w:tc>
        <w:tc>
          <w:tcPr>
            <w:tcW w:w="3568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E4D0B" w:rsidRPr="005E4D0B" w:rsidRDefault="005E4D0B" w:rsidP="005E4D0B">
            <w:pPr>
              <w:spacing w:before="60" w:after="60" w:line="360" w:lineRule="auto"/>
              <w:rPr>
                <w:rFonts w:ascii="Arial" w:hAnsi="Arial" w:cs="Arial"/>
                <w:sz w:val="24"/>
                <w:szCs w:val="24"/>
              </w:rPr>
            </w:pPr>
            <w:r w:rsidRPr="005E4D0B">
              <w:rPr>
                <w:rFonts w:ascii="Arial" w:hAnsi="Arial" w:cs="Arial"/>
                <w:sz w:val="24"/>
                <w:szCs w:val="24"/>
                <w:lang w:val="en-US"/>
              </w:rPr>
              <w:t>22 20 13 408</w:t>
            </w:r>
          </w:p>
        </w:tc>
      </w:tr>
      <w:tr w:rsidR="005E4D0B" w:rsidRPr="005E4D0B" w:rsidTr="005435A0">
        <w:trPr>
          <w:trHeight w:val="567"/>
          <w:jc w:val="center"/>
        </w:trPr>
        <w:tc>
          <w:tcPr>
            <w:tcW w:w="14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5E4D0B" w:rsidRPr="005E4D0B" w:rsidRDefault="005E4D0B" w:rsidP="005E4D0B">
            <w:pPr>
              <w:spacing w:before="60" w:after="6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5E4D0B">
              <w:rPr>
                <w:rFonts w:ascii="Arial" w:hAnsi="Arial" w:cs="Arial"/>
                <w:b/>
                <w:color w:val="FFFFFF"/>
                <w:sz w:val="24"/>
                <w:szCs w:val="24"/>
              </w:rPr>
              <w:t>E-mail</w:t>
            </w:r>
          </w:p>
        </w:tc>
        <w:tc>
          <w:tcPr>
            <w:tcW w:w="3568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E4D0B" w:rsidRPr="005E4D0B" w:rsidRDefault="002E7ACF" w:rsidP="005E4D0B">
            <w:pPr>
              <w:spacing w:before="60" w:after="60" w:line="360" w:lineRule="auto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="005E4D0B" w:rsidRPr="005E4D0B">
                <w:rPr>
                  <w:rFonts w:ascii="Arial" w:hAnsi="Arial" w:cs="Arial"/>
                  <w:color w:val="0563C1"/>
                  <w:sz w:val="24"/>
                  <w:szCs w:val="24"/>
                  <w:u w:val="single"/>
                  <w:lang w:val="en-US"/>
                </w:rPr>
                <w:t>sekretariat@ncbr.gov.pl</w:t>
              </w:r>
            </w:hyperlink>
          </w:p>
        </w:tc>
      </w:tr>
      <w:tr w:rsidR="005E4D0B" w:rsidRPr="005E4D0B" w:rsidTr="005435A0">
        <w:trPr>
          <w:trHeight w:val="851"/>
          <w:jc w:val="center"/>
        </w:trPr>
        <w:tc>
          <w:tcPr>
            <w:tcW w:w="143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5E4D0B" w:rsidRPr="005E4D0B" w:rsidRDefault="005E4D0B" w:rsidP="005E4D0B">
            <w:pPr>
              <w:spacing w:before="60" w:after="6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5E4D0B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Dane kontaktowe osoby (osób) </w:t>
            </w:r>
            <w:r w:rsidRPr="005E4D0B">
              <w:rPr>
                <w:rFonts w:ascii="Arial" w:hAnsi="Arial" w:cs="Arial"/>
                <w:b/>
                <w:color w:val="FFFFFF"/>
                <w:sz w:val="24"/>
                <w:szCs w:val="24"/>
              </w:rPr>
              <w:br/>
              <w:t xml:space="preserve">do kontaktów roboczych </w:t>
            </w:r>
          </w:p>
        </w:tc>
        <w:tc>
          <w:tcPr>
            <w:tcW w:w="3568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E4D0B" w:rsidRPr="005E4D0B" w:rsidRDefault="005E4D0B" w:rsidP="005E4D0B">
            <w:pPr>
              <w:spacing w:before="60" w:after="60" w:line="360" w:lineRule="auto"/>
              <w:rPr>
                <w:rFonts w:ascii="Arial" w:hAnsi="Arial" w:cs="Arial"/>
                <w:sz w:val="24"/>
                <w:szCs w:val="24"/>
              </w:rPr>
            </w:pPr>
            <w:r w:rsidRPr="005E4D0B">
              <w:rPr>
                <w:rFonts w:ascii="Arial" w:hAnsi="Arial" w:cs="Arial"/>
                <w:sz w:val="24"/>
                <w:szCs w:val="24"/>
              </w:rPr>
              <w:t xml:space="preserve">Anna Marciniak, kierownik Sekcji Programowania i Wyboru Projektów, </w:t>
            </w:r>
            <w:hyperlink r:id="rId10" w:history="1">
              <w:r w:rsidRPr="005E4D0B">
                <w:rPr>
                  <w:rFonts w:ascii="Arial" w:hAnsi="Arial" w:cs="Arial"/>
                  <w:color w:val="0563C1"/>
                  <w:sz w:val="24"/>
                  <w:szCs w:val="24"/>
                  <w:u w:val="single"/>
                </w:rPr>
                <w:t>anna.marciniak@ncbr.gov.pl</w:t>
              </w:r>
            </w:hyperlink>
            <w:r w:rsidRPr="005E4D0B">
              <w:rPr>
                <w:rFonts w:ascii="Arial" w:hAnsi="Arial" w:cs="Arial"/>
                <w:sz w:val="24"/>
                <w:szCs w:val="24"/>
              </w:rPr>
              <w:t>, 22 45 67 587</w:t>
            </w:r>
          </w:p>
        </w:tc>
      </w:tr>
    </w:tbl>
    <w:p w:rsidR="005E4D0B" w:rsidRPr="005E4D0B" w:rsidRDefault="005E4D0B" w:rsidP="005E4D0B">
      <w:pPr>
        <w:spacing w:before="60" w:after="60"/>
        <w:rPr>
          <w:rFonts w:ascii="Arial" w:hAnsi="Arial" w:cs="Arial"/>
          <w:b/>
          <w:sz w:val="16"/>
          <w:szCs w:val="16"/>
        </w:rPr>
      </w:pPr>
    </w:p>
    <w:p w:rsidR="00ED18B9" w:rsidRPr="00F75263" w:rsidRDefault="005E4D0B" w:rsidP="005E4D0B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r w:rsidRPr="005E4D0B">
        <w:rPr>
          <w:rFonts w:ascii="Arial" w:hAnsi="Arial" w:cs="Arial"/>
          <w:sz w:val="28"/>
          <w:szCs w:val="28"/>
        </w:rPr>
        <w:br w:type="page"/>
      </w: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5E4D0B" w:rsidRDefault="005E4D0B" w:rsidP="005E4D0B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E4D0B">
        <w:rPr>
          <w:rFonts w:ascii="Arial" w:hAnsi="Arial" w:cs="Arial"/>
          <w:b/>
          <w:sz w:val="24"/>
          <w:szCs w:val="24"/>
        </w:rPr>
        <w:t>DZIAŁANIE 3.3 Fiszka projektu pozakonkursowego „</w:t>
      </w:r>
      <w:r w:rsidR="00EC6B65" w:rsidRPr="00EC6B65">
        <w:rPr>
          <w:rFonts w:ascii="Arial" w:hAnsi="Arial" w:cs="Arial"/>
          <w:b/>
          <w:sz w:val="24"/>
          <w:szCs w:val="24"/>
        </w:rPr>
        <w:t>NAWA 2 – profesjonalizacja i doskonalenie funkcjonowania organizacji</w:t>
      </w:r>
      <w:r w:rsidRPr="005E4D0B">
        <w:rPr>
          <w:rFonts w:ascii="Arial" w:hAnsi="Arial" w:cs="Arial"/>
          <w:b/>
          <w:sz w:val="24"/>
          <w:szCs w:val="24"/>
        </w:rPr>
        <w:t>”</w:t>
      </w:r>
    </w:p>
    <w:tbl>
      <w:tblPr>
        <w:tblW w:w="9659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566"/>
        <w:gridCol w:w="163"/>
        <w:gridCol w:w="120"/>
        <w:gridCol w:w="428"/>
        <w:gridCol w:w="1404"/>
        <w:gridCol w:w="10"/>
        <w:gridCol w:w="164"/>
        <w:gridCol w:w="261"/>
        <w:gridCol w:w="1411"/>
        <w:gridCol w:w="7"/>
        <w:gridCol w:w="141"/>
        <w:gridCol w:w="425"/>
        <w:gridCol w:w="23"/>
        <w:gridCol w:w="1112"/>
        <w:gridCol w:w="142"/>
        <w:gridCol w:w="1865"/>
      </w:tblGrid>
      <w:tr w:rsidR="007C0CDE" w:rsidRPr="00BF68CD" w:rsidTr="005435A0">
        <w:trPr>
          <w:trHeight w:val="351"/>
        </w:trPr>
        <w:tc>
          <w:tcPr>
            <w:tcW w:w="2694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rPr>
                <w:rFonts w:ascii="Arial" w:eastAsia="MS Gothic" w:hAnsi="Arial" w:cs="Arial"/>
                <w:b/>
                <w:bCs/>
                <w:sz w:val="24"/>
                <w:szCs w:val="24"/>
              </w:rPr>
            </w:pPr>
            <w:r w:rsidRPr="001D3766">
              <w:rPr>
                <w:rFonts w:ascii="Arial" w:eastAsia="MS Gothic" w:hAnsi="Arial" w:cs="Arial"/>
                <w:b/>
                <w:bCs/>
                <w:sz w:val="24"/>
                <w:szCs w:val="24"/>
              </w:rPr>
              <w:t>DZIAŁANIE PO WER</w:t>
            </w:r>
          </w:p>
        </w:tc>
        <w:tc>
          <w:tcPr>
            <w:tcW w:w="6965" w:type="dxa"/>
            <w:gridSpan w:val="12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D3766">
              <w:rPr>
                <w:rFonts w:ascii="Arial" w:hAnsi="Arial" w:cs="Arial"/>
                <w:sz w:val="24"/>
                <w:szCs w:val="24"/>
                <w:lang w:val="en-GB"/>
              </w:rPr>
              <w:t xml:space="preserve">3.3 Umiędzynarodowienie 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val="en-GB"/>
              </w:rPr>
              <w:t>polskiego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val="en-GB"/>
              </w:rPr>
              <w:t xml:space="preserve"> szkolnictwa wyższego</w:t>
            </w:r>
          </w:p>
        </w:tc>
      </w:tr>
      <w:tr w:rsidR="007C0CDE" w:rsidRPr="00BF68CD" w:rsidTr="005435A0">
        <w:trPr>
          <w:trHeight w:val="351"/>
        </w:trPr>
        <w:tc>
          <w:tcPr>
            <w:tcW w:w="9659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FISZKA PROJEKTU POZAKONKURSOWEGO KONCEPCYJNEGO</w:t>
            </w:r>
          </w:p>
        </w:tc>
      </w:tr>
      <w:tr w:rsidR="007C0CDE" w:rsidRPr="00BF68CD" w:rsidTr="005435A0">
        <w:trPr>
          <w:trHeight w:val="351"/>
        </w:trPr>
        <w:tc>
          <w:tcPr>
            <w:tcW w:w="9659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PODSTAWOWE INFORMACJE O PROJEKCIE</w:t>
            </w:r>
          </w:p>
        </w:tc>
      </w:tr>
      <w:tr w:rsidR="007C0CDE" w:rsidRPr="00BF68CD" w:rsidTr="005435A0">
        <w:trPr>
          <w:trHeight w:val="351"/>
        </w:trPr>
        <w:tc>
          <w:tcPr>
            <w:tcW w:w="2266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Tytuł lub zakres projektu</w:t>
            </w:r>
          </w:p>
        </w:tc>
        <w:tc>
          <w:tcPr>
            <w:tcW w:w="7393" w:type="dxa"/>
            <w:gridSpan w:val="1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C0CDE" w:rsidRPr="001D3766" w:rsidRDefault="007C0CDE" w:rsidP="005435A0">
            <w:pPr>
              <w:spacing w:line="360" w:lineRule="auto"/>
              <w:ind w:left="318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NAWA 2 – profesjonalizacja i doskonalenie funkcjonowania organizacji</w:t>
            </w:r>
          </w:p>
        </w:tc>
      </w:tr>
      <w:tr w:rsidR="007C0CDE" w:rsidRPr="00BF68CD" w:rsidTr="005435A0">
        <w:trPr>
          <w:trHeight w:val="1012"/>
        </w:trPr>
        <w:tc>
          <w:tcPr>
            <w:tcW w:w="226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Cel szczegółowy PO WER, w ramach którego projekt będzie realizowany</w:t>
            </w:r>
          </w:p>
        </w:tc>
        <w:tc>
          <w:tcPr>
            <w:tcW w:w="7393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C0CDE" w:rsidRPr="001D3766" w:rsidRDefault="007C0CDE" w:rsidP="005435A0">
            <w:pPr>
              <w:spacing w:line="360" w:lineRule="auto"/>
              <w:ind w:left="318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Poprawa dostępności międzynarodowych programów kształcenia dla osób uczestniczących w edukacji na poziomie wyższym z Polski oraz dla cudzoziemców.</w:t>
            </w:r>
          </w:p>
        </w:tc>
      </w:tr>
      <w:tr w:rsidR="007C0CDE" w:rsidRPr="00BF68CD" w:rsidTr="005435A0">
        <w:trPr>
          <w:trHeight w:val="703"/>
        </w:trPr>
        <w:tc>
          <w:tcPr>
            <w:tcW w:w="226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Priorytet inwestycyjny</w:t>
            </w:r>
          </w:p>
        </w:tc>
        <w:tc>
          <w:tcPr>
            <w:tcW w:w="7393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C0CDE" w:rsidRPr="001D3766" w:rsidRDefault="007C0CDE" w:rsidP="005435A0">
            <w:pPr>
              <w:spacing w:line="360" w:lineRule="auto"/>
              <w:ind w:left="318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PI 10ii poprawa jakości, skuteczności i dostępności szkolnictwa wyższego oraz kształcenia na poziomie równoważnym w celu zwiększenia udziału i poziomu osiągnięć, zwłaszcza w przypadku grup w niekorzystnej sytuacji.</w:t>
            </w:r>
          </w:p>
        </w:tc>
      </w:tr>
      <w:tr w:rsidR="007C0CDE" w:rsidRPr="00BF68CD" w:rsidTr="005435A0">
        <w:trPr>
          <w:trHeight w:val="1566"/>
        </w:trPr>
        <w:tc>
          <w:tcPr>
            <w:tcW w:w="226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Typ/typy projektów przewidziane do realizacji w ramach projektu</w:t>
            </w:r>
          </w:p>
        </w:tc>
        <w:tc>
          <w:tcPr>
            <w:tcW w:w="7393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:rsidR="007C0CDE" w:rsidRPr="001D3766" w:rsidRDefault="007C0CDE" w:rsidP="005435A0">
            <w:pPr>
              <w:spacing w:line="360" w:lineRule="auto"/>
              <w:ind w:left="318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Wspieranie zdolności instytucjonalnej i funkcjonowania Narodowej Agencji Wymiany Akademickiej.</w:t>
            </w:r>
          </w:p>
        </w:tc>
      </w:tr>
      <w:tr w:rsidR="007C0CDE" w:rsidRPr="00BF68CD" w:rsidTr="005435A0">
        <w:trPr>
          <w:trHeight w:val="636"/>
        </w:trPr>
        <w:tc>
          <w:tcPr>
            <w:tcW w:w="226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Cel główny projektu</w:t>
            </w:r>
          </w:p>
        </w:tc>
        <w:tc>
          <w:tcPr>
            <w:tcW w:w="7393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:rsidR="007C0CDE" w:rsidRPr="001D3766" w:rsidRDefault="007C0CDE" w:rsidP="005435A0">
            <w:pPr>
              <w:autoSpaceDE w:val="0"/>
              <w:autoSpaceDN w:val="0"/>
              <w:adjustRightInd w:val="0"/>
              <w:spacing w:before="60" w:after="60" w:line="360" w:lineRule="auto"/>
              <w:ind w:left="318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Profesjonalizacja i doskonalenie zdolności instytucjonalnej i funkcjonowania Narodowej Agencji Wymiany Akademickiej.</w:t>
            </w:r>
          </w:p>
        </w:tc>
      </w:tr>
      <w:tr w:rsidR="007C0CDE" w:rsidRPr="00BF68CD" w:rsidTr="005435A0">
        <w:trPr>
          <w:trHeight w:val="636"/>
        </w:trPr>
        <w:tc>
          <w:tcPr>
            <w:tcW w:w="226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Kamienie milowe projektu</w:t>
            </w:r>
          </w:p>
        </w:tc>
        <w:tc>
          <w:tcPr>
            <w:tcW w:w="7393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:rsidR="007C0CDE" w:rsidRPr="001D3766" w:rsidRDefault="007C0CDE" w:rsidP="005435A0">
            <w:pPr>
              <w:autoSpaceDE w:val="0"/>
              <w:autoSpaceDN w:val="0"/>
              <w:adjustRightInd w:val="0"/>
              <w:spacing w:before="60" w:after="60" w:line="360" w:lineRule="auto"/>
              <w:ind w:left="318"/>
              <w:rPr>
                <w:rFonts w:ascii="Arial" w:hAnsi="Arial" w:cs="Arial"/>
                <w:sz w:val="24"/>
                <w:szCs w:val="24"/>
                <w:lang w:eastAsia="pl-PL"/>
              </w:rPr>
            </w:pPr>
            <w:bookmarkStart w:id="0" w:name="OLE_LINK1"/>
            <w:bookmarkStart w:id="1" w:name="OLE_LINK2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Na obecnym etapie rozwoju, kluczowe kamienie milowe, których osiągniecie przyczyni się do realizacji celu projektowego NAWA to: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lastRenderedPageBreak/>
              <w:t>Doskonalenie kompetencji pracowniczych - wypełnianie luk kompetencyjnych poprzez szeroki zakres usług rozwojowych: coaching, mentoring,  szkolenia/kursy kompetencyjne (z zakresu umiejętności miękkich oraz twardych), studia podyplomowe, staże, wizyty studyjne krajowe i zagraniczne, udział w konferencjach krajowych i zagranicznych zwiększających wiedzę specjalistyczną. Czas realizacji etapu: lipiec 2021 – sierpień 2023. Szacowany koszt realizacji: 2</w:t>
            </w:r>
            <w:r>
              <w:rPr>
                <w:rFonts w:cs="Arial"/>
                <w:sz w:val="24"/>
              </w:rPr>
              <w:t>8</w:t>
            </w:r>
            <w:r w:rsidRPr="001D3766">
              <w:rPr>
                <w:rFonts w:cs="Arial"/>
                <w:sz w:val="24"/>
              </w:rPr>
              <w:t>% wartości budżetu projektu.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Doskonalenie obsługi procesów NAWA - działania związane z realizacją kamienia milowego realizowane będą od lipca 2021 r. do czerwca 2023 r. Szacowany koszt realizacji działań to 2</w:t>
            </w:r>
            <w:r>
              <w:rPr>
                <w:rFonts w:cs="Arial"/>
                <w:sz w:val="24"/>
              </w:rPr>
              <w:t>9</w:t>
            </w:r>
            <w:r w:rsidRPr="001D3766">
              <w:rPr>
                <w:rFonts w:cs="Arial"/>
                <w:sz w:val="24"/>
              </w:rPr>
              <w:t>% wartości budżetu projektu.</w:t>
            </w:r>
          </w:p>
          <w:p w:rsidR="007C0CDE" w:rsidRPr="001D3766" w:rsidRDefault="007C0CDE" w:rsidP="007C0CDE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60" w:after="60"/>
              <w:ind w:left="318" w:hanging="425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Wyodrębnienie komórki ds. kontroli beneficjentów NAWA. Kamieniem milowym będzie utworzenie stanowiska specjalistów/y, przygotowanie właściwych procedur i formularzy dla różnych typów kontroli, poprzedzone analizą ryzyka dla poszczególnych programów, potwierdzeniem rentowności i celowoś</w:t>
            </w:r>
            <w:r>
              <w:rPr>
                <w:rFonts w:cs="Arial"/>
                <w:sz w:val="24"/>
              </w:rPr>
              <w:t>ci</w:t>
            </w:r>
            <w:r w:rsidRPr="001D3766">
              <w:rPr>
                <w:rFonts w:cs="Arial"/>
                <w:sz w:val="24"/>
              </w:rPr>
              <w:t xml:space="preserve"> ich realizacji, określeniem właściwej liczby projektów jako podstawy do doboru próby do kontroli a także oceną poziomu błędów odnotowanych w złożonych raportach.</w:t>
            </w:r>
          </w:p>
          <w:p w:rsidR="007C0CDE" w:rsidRPr="001D3766" w:rsidRDefault="007C0CDE" w:rsidP="007C0CDE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60" w:after="60"/>
              <w:ind w:left="318" w:hanging="425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Wyodrębnienie komórki ds. audytu wewnętrznego NAWA. Kamieniem milowym będzie utworzenie stanowiska specjalistów/y Audytora, opracowanie zestawu procedur dot. sposobu realizacji audytu, w tym zasad pozyskiwania i dostarczania kadrze kierowniczej informacji nt.: bieżącego stanu procesów zachodzących w Agencji, rozbieżności między stanem bieżącym a pożądanym, sposobów optymalizacji procesów zachodzących w Agencji, prawidłowości wydatkowania środków przez Agencję.</w:t>
            </w:r>
          </w:p>
          <w:p w:rsidR="007C0CDE" w:rsidRPr="001D3766" w:rsidRDefault="007C0CDE" w:rsidP="007C0CDE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60" w:after="60"/>
              <w:ind w:left="318" w:hanging="425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 xml:space="preserve">Wdrożenie narzędzi i systemów teleinformatycznych wspierających kluczowe procesy w NAWA, w tym: politykę HR Agencji, controlling finansowy (realizacja zatwierdzonych </w:t>
            </w:r>
            <w:r w:rsidRPr="001D3766">
              <w:rPr>
                <w:rFonts w:cs="Arial"/>
                <w:sz w:val="24"/>
              </w:rPr>
              <w:lastRenderedPageBreak/>
              <w:t xml:space="preserve">wydatków zgodnie z planami wydatkowania i w ramach dostępnych limitów), obsługę i kontrolę beneficjentów NAWA na etapie aplikowania i wdrażania projektów, wybór ekspertów oceniających wnioski. Kamieniem milowym będzie wdrożenie oprogramowania/narzędzia zbierającego dane dot. danego procesu oraz generującego raporty/ statystyki/ zestawienia dla tego procesu. 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 w:after="6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 xml:space="preserve">Doskonalenie oferty Agencji – działania pod kątem bieżących potrzeb i trendów w obszarze umiędzynarodowienia szkolnictwa wyższego i nauki. Działania związane z realizacją kamienia milowego realizowane będą od września 2021 r. do września 2023 r. Szacowany koszt realizacji działania to </w:t>
            </w:r>
            <w:r>
              <w:rPr>
                <w:rFonts w:cs="Arial"/>
                <w:sz w:val="24"/>
              </w:rPr>
              <w:t>21</w:t>
            </w:r>
            <w:r w:rsidRPr="001D3766">
              <w:rPr>
                <w:rFonts w:cs="Arial"/>
                <w:sz w:val="24"/>
              </w:rPr>
              <w:t>% budżetu projektu.</w:t>
            </w:r>
          </w:p>
          <w:p w:rsidR="007C0CDE" w:rsidRPr="001D3766" w:rsidRDefault="007C0CDE" w:rsidP="007C0CDE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60" w:after="6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 xml:space="preserve">Wsparcie rozwoju systemu wspierającego realizowany przez Agencję proces uznawalności wykształcenia. Kamieniem milowym będzie uruchomienie modułu ułatwiającego pracownikom Agencji samodzielną weryfikację  konkretnego dyplomu/świadectwa oraz platformy on-line umożliwiającej stały kontakt z interesariuszami oraz wymianę informacji i pomoc w kwestiach związanych z uznawalnością zagranicznych dokumentów o wykształceniu. </w:t>
            </w:r>
          </w:p>
          <w:p w:rsidR="007C0CDE" w:rsidRPr="001D3766" w:rsidRDefault="007C0CDE" w:rsidP="007C0CDE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60" w:after="6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Ocena wpływu programów oraz innych działań realizowanych przez NAWA na rozwój nauki, gospodarki i społeczeństwa. Kamień milowy zostanie osiągnięty w momencie opracowania przez Zespół Agencji analizy, bazującej na danych empirycznych, zebranych przez podmiot zewnętrzny.</w:t>
            </w:r>
          </w:p>
          <w:p w:rsidR="007C0CDE" w:rsidRPr="001D3766" w:rsidRDefault="007C0CDE" w:rsidP="007C0CDE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60" w:after="6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Przegląd i aktualizacja strategii NAWA. Kamień milowy zostanie osiągnięty w momencie wypracowania aktualizacji kompleksowej strategii Agencji, bazującej na najnowszych politykach krajowych w zakresie umiędzynarodowienia polskiego szkolnictwa wyższego i nauki oraz światowych trendach rozwoju w tym obszarze.</w:t>
            </w:r>
          </w:p>
          <w:p w:rsidR="007C0CDE" w:rsidRPr="001D3766" w:rsidRDefault="007C0CDE" w:rsidP="007C0CDE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60" w:after="6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 xml:space="preserve">Realizacja bieżących konsultacji programów NAWA </w:t>
            </w:r>
            <w:r>
              <w:rPr>
                <w:rFonts w:cs="Arial"/>
                <w:sz w:val="24"/>
              </w:rPr>
              <w:t xml:space="preserve">z </w:t>
            </w:r>
            <w:r>
              <w:rPr>
                <w:rFonts w:cs="Arial"/>
                <w:sz w:val="24"/>
              </w:rPr>
              <w:lastRenderedPageBreak/>
              <w:t xml:space="preserve">odbiorcami programów Agencji tj. studentami, przedstawicielami uczelni i organizacji środowiskowych szkolnictwa wyższego </w:t>
            </w:r>
            <w:r w:rsidRPr="001D3766">
              <w:rPr>
                <w:rFonts w:cs="Arial"/>
                <w:sz w:val="24"/>
              </w:rPr>
              <w:t xml:space="preserve">przy użyciu zdalnych  i tradycyjnych metod kontaktu z interesariuszami. Kamień milowy zostanie osiągnięty w momencie przeprowadzenia min. </w:t>
            </w:r>
            <w:r>
              <w:rPr>
                <w:rFonts w:cs="Arial"/>
                <w:sz w:val="24"/>
              </w:rPr>
              <w:t>5</w:t>
            </w:r>
            <w:r w:rsidRPr="001D3766">
              <w:rPr>
                <w:rFonts w:cs="Arial"/>
                <w:sz w:val="24"/>
              </w:rPr>
              <w:t>konsultacji w formule zdalnej/tradycyjne.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 w:after="6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 xml:space="preserve">Wdrożenie sprofilowanych strategii rozwoju współpracy i umiędzynarodowienia polskiego szkolnictwa wyższego i nauki. Działania związane z realizacją kamienia milowego realizowane będą od października 2021 r. do września 2023 r. Szacowany koszt realizacji działań to </w:t>
            </w:r>
            <w:r>
              <w:rPr>
                <w:rFonts w:cs="Arial"/>
                <w:sz w:val="24"/>
              </w:rPr>
              <w:t>22</w:t>
            </w:r>
            <w:r w:rsidRPr="001D3766">
              <w:rPr>
                <w:rFonts w:cs="Arial"/>
                <w:sz w:val="24"/>
              </w:rPr>
              <w:t>% wartości budżetu projektu.</w:t>
            </w:r>
          </w:p>
          <w:p w:rsidR="007C0CDE" w:rsidRPr="001D3766" w:rsidRDefault="007C0CDE" w:rsidP="007C0CDE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before="60" w:after="60"/>
              <w:ind w:left="318" w:hanging="426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 xml:space="preserve">Agencja zaangażuje zasoby ludzkie i rzeczowe celem wdrożenia działań skierowanych do alumnów przebywających za granicą oraz alumnów z zagranicy pozostających w Polsce. Kamień milowy zostanie osiągnięty z chwilą realizacji strategii dotarcia do alumnów </w:t>
            </w:r>
            <w:r>
              <w:rPr>
                <w:rFonts w:cs="Arial"/>
                <w:sz w:val="24"/>
              </w:rPr>
              <w:t xml:space="preserve">NAWA i </w:t>
            </w:r>
            <w:r w:rsidRPr="001D3766">
              <w:rPr>
                <w:rFonts w:cs="Arial"/>
                <w:sz w:val="24"/>
              </w:rPr>
              <w:t>polskich uczelni za granicą oraz rozwoju współpracy i zorganizowania min. 5 spotkań z alumnami w różnych formach.</w:t>
            </w:r>
          </w:p>
          <w:p w:rsidR="007C0CDE" w:rsidRPr="001D3766" w:rsidRDefault="007C0CDE" w:rsidP="007C0CDE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before="60" w:after="60"/>
              <w:ind w:left="318" w:hanging="426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Agencja zaangażuje zasoby ludzkie i rzeczowe celem wdrożenia działań skierowanych do Polonii, w szczególności poprzez współpracę z placówkami zagranicznymi MSZ i instytucjami z otoczenia nauki i szkolnictwa wyższego. Kamień milowy zostanie osiągnięty z chwilą realizacji strategii dotarcia do Polonii z wykorzystaniem placówek MSZ i instytucji otoczenia szkolnictwa wyższego i nauki oraz zorganizowaniem min. 5 spotkań z Polonią w różnych formach.</w:t>
            </w:r>
          </w:p>
          <w:p w:rsidR="007C0CDE" w:rsidRPr="001D3766" w:rsidRDefault="007C0CDE" w:rsidP="007C0CDE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before="60" w:after="60"/>
              <w:ind w:left="318" w:hanging="426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 xml:space="preserve">Agencja zaangażuje zasoby  ludzkie i rzeczowe celem wdrożenia nowych, innowacyjnych formy promocji, determinowanych przez pojawienie się epidemii COVID-19 i bieżące potrzeby środowiska akademickiego. Kamień milowy zostanie osiągnięty z chwilą stworzenia materiałów filmowych na min. 9 zagranicznych wydarzeniach edukacyjnych (seminariach, targach, konferencjach). </w:t>
            </w:r>
          </w:p>
          <w:p w:rsidR="007C0CDE" w:rsidRPr="00DA1532" w:rsidRDefault="007C0CDE" w:rsidP="005435A0">
            <w:pPr>
              <w:autoSpaceDE w:val="0"/>
              <w:autoSpaceDN w:val="0"/>
              <w:adjustRightInd w:val="0"/>
              <w:spacing w:before="60" w:after="60" w:line="360" w:lineRule="auto"/>
              <w:ind w:left="34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 xml:space="preserve">W okresie od lipca 2021 do września 2023 sprawowany będzie nadzór nad wdrażanym projektem i osiąganiem poszczególnych kamieni milowych (kontrola, monitoring, sprawozdawczość, informowanie o projekcie). </w:t>
            </w:r>
            <w:bookmarkEnd w:id="0"/>
            <w:bookmarkEnd w:id="1"/>
          </w:p>
        </w:tc>
      </w:tr>
      <w:tr w:rsidR="007C0CDE" w:rsidRPr="00BF68CD" w:rsidTr="005435A0">
        <w:trPr>
          <w:trHeight w:val="636"/>
        </w:trPr>
        <w:tc>
          <w:tcPr>
            <w:tcW w:w="226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lastRenderedPageBreak/>
              <w:t>Podmiot zgłaszający projekt</w:t>
            </w:r>
          </w:p>
        </w:tc>
        <w:tc>
          <w:tcPr>
            <w:tcW w:w="7393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:rsidR="007C0CDE" w:rsidRPr="001D3766" w:rsidRDefault="007C0CDE" w:rsidP="005435A0">
            <w:pPr>
              <w:autoSpaceDE w:val="0"/>
              <w:autoSpaceDN w:val="0"/>
              <w:adjustRightInd w:val="0"/>
              <w:spacing w:before="60" w:after="60" w:line="360" w:lineRule="auto"/>
              <w:ind w:left="318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Narodowe Centrum Badań i Rozwoju</w:t>
            </w:r>
          </w:p>
        </w:tc>
      </w:tr>
      <w:tr w:rsidR="007C0CDE" w:rsidRPr="00BF68CD" w:rsidTr="005435A0">
        <w:trPr>
          <w:trHeight w:val="434"/>
        </w:trPr>
        <w:tc>
          <w:tcPr>
            <w:tcW w:w="226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Podmiot, który będzie wnioskodawcą</w:t>
            </w:r>
          </w:p>
        </w:tc>
        <w:tc>
          <w:tcPr>
            <w:tcW w:w="7393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C0CDE" w:rsidRPr="001D3766" w:rsidRDefault="007C0CDE" w:rsidP="005435A0">
            <w:pPr>
              <w:autoSpaceDE w:val="0"/>
              <w:autoSpaceDN w:val="0"/>
              <w:adjustRightInd w:val="0"/>
              <w:spacing w:before="60" w:after="60" w:line="360" w:lineRule="auto"/>
              <w:ind w:left="318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Narodowa Agencja Wymiany Akademickiej</w:t>
            </w:r>
          </w:p>
        </w:tc>
      </w:tr>
      <w:tr w:rsidR="007C0CDE" w:rsidRPr="00BF68CD" w:rsidTr="005435A0">
        <w:trPr>
          <w:trHeight w:val="434"/>
        </w:trPr>
        <w:tc>
          <w:tcPr>
            <w:tcW w:w="226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Uzasadnienie wyboru podmiotu, który będzie wnioskodawcą</w:t>
            </w:r>
          </w:p>
        </w:tc>
        <w:tc>
          <w:tcPr>
            <w:tcW w:w="7393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C0CDE" w:rsidRPr="001D3766" w:rsidRDefault="007C0CDE" w:rsidP="005435A0">
            <w:pPr>
              <w:autoSpaceDE w:val="0"/>
              <w:autoSpaceDN w:val="0"/>
              <w:adjustRightInd w:val="0"/>
              <w:spacing w:before="60" w:after="60" w:line="360" w:lineRule="auto"/>
              <w:ind w:left="318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Narodowa Agencja Wymiany Akademickiej (dalej NAWA lub Agencja) jest instytucją powołaną na mocy ustawy z dnia 7 lipca 2017 o Narodowej Agencji Wymiany Akademickiej. Głównym ustawowym zadaniem Agencji jest inicjowanie i realizowanie działań wspierających międzynarodową wymianę akademicką oraz proces umiędzynarodowienia polskich uczelni i jednostek naukowych. W okresie od października 2017 do sierpnia 2020, Agencja zbudowała swój potencjał i zdolność instytucjonalną, które stanowią mocną podstawę do dalszego rozwoju - doskonalenia i profesjonalizacji procesów oraz zwiększania jakości oferty programowej.</w:t>
            </w:r>
          </w:p>
          <w:p w:rsidR="007C0CDE" w:rsidRPr="001D3766" w:rsidRDefault="007C0CDE" w:rsidP="005435A0">
            <w:pPr>
              <w:autoSpaceDE w:val="0"/>
              <w:autoSpaceDN w:val="0"/>
              <w:adjustRightInd w:val="0"/>
              <w:spacing w:before="60" w:after="60" w:line="360" w:lineRule="auto"/>
              <w:ind w:left="318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NAWA po 3 latach funkcjonowania, wkroczyła w fazę stałego wzrostu, doskonalenia i standaryzacji procesów. Po uruchomieniu oferty programowej oraz ugruntowaniu współpracy ze środowiskiem akademickim i naukowym zarówno krajowym, jak i zagranicznym, może skoncentrować się na zadaniach podwyższających jakość i innowacyjność świadczonego przez nią wsparcia, umacniać nawiązane relacje.  Liczba programów stypendialnych realizowanych przez NAWA wzrosła z 3 w 2017 roku do 26 programów ustanowionych przez Dyrektora Agencji. NAWA jest rozpoznawalna jako organizacja stymulująca wzrost umiędzynarodowienia szkolnictwa wyższego </w:t>
            </w:r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i nauki w Polsce oraz jako partner otwarty na współpracę  i wymianę doświadczeń na poziomie międzynarodowym. Od października 2017 roku NAWA nawiązała współpracę z organizacjami takimi jak: NAFSA (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Association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of International 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Educators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), EAIE (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European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Association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for International 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Education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 xml:space="preserve">), APAIE (Asia-Pacific 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Association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for International 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Education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), STUDY IN EUROPE (projekt Komisji Europejskiej), IIE (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Institute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of International 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Education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- jako 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Generation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Study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Abroad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Commitment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Partner), Fundacją Kościuszkowską, Narodowym Centrum Nauki, Radą Młodych Naukowców, Krajową Reprezentacją Doktorantów, Konferencją Rektorów Akademickich Szkół Polskich, Fundacją 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Polonium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. Jest członkiem ACA (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Academic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Cooperation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Association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) – stowarzyszenia zrzeszającego 20 instytucji odpowiedników NAWA, pełni także rolę Narodowego Biura CEEPUS  (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National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CEEPUS Office) nadzorując realizację ponad 75 sieci akademickich. NAWA prezentowała swoją ofertę programową oraz koordynowała udział polskich instytucji szkolnictwa wyższego i nauki na blisko 30 kluczowych targach i konferencjach edukacyjnych na całym świecie: Chiny, Kanada, USA, Kolumbia, Meksyk, Indie, Singapur, Malezja, Nepal, Wietnam, Finlandia, Szwajcaria, Grecja, Ukraina, Litwa, Gruzja, Albania, Kazachstan, Uzbekistan, Tadżykistan i Portugalia.</w:t>
            </w:r>
          </w:p>
          <w:p w:rsidR="007C0CDE" w:rsidRPr="001D3766" w:rsidRDefault="007C0CDE" w:rsidP="005435A0">
            <w:pPr>
              <w:autoSpaceDE w:val="0"/>
              <w:autoSpaceDN w:val="0"/>
              <w:adjustRightInd w:val="0"/>
              <w:spacing w:before="60" w:after="60" w:line="360" w:lineRule="auto"/>
              <w:ind w:left="318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Mając na względzie: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6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 xml:space="preserve">cel powołania Agencji przez Ministra ds. nauki i szkolnictwa wyższego (realizacja całościowej, długofalowej polityki państwa polskiego wsparcia indywidualnej mobilności akademickiej ukierunkowanej na wzrost potencjału dydaktycznego i naukowego; wsparcie rozwój uczelni w umiędzynarodowieniu ich oferty programowej oraz promocja polskiego szkolnictwa wyższego za granicą - tak jak to skutecznie czynią partnerzy zagraniczni podobni NAWA: np.: DAAD w Niemczech, Campus France, </w:t>
            </w:r>
            <w:proofErr w:type="spellStart"/>
            <w:r w:rsidRPr="001D3766">
              <w:rPr>
                <w:rFonts w:cs="Arial"/>
                <w:sz w:val="24"/>
              </w:rPr>
              <w:t>Nuffic</w:t>
            </w:r>
            <w:proofErr w:type="spellEnd"/>
            <w:r w:rsidRPr="001D3766">
              <w:rPr>
                <w:rFonts w:cs="Arial"/>
                <w:sz w:val="24"/>
              </w:rPr>
              <w:t xml:space="preserve"> w Holandii, British </w:t>
            </w:r>
            <w:proofErr w:type="spellStart"/>
            <w:r w:rsidRPr="001D3766">
              <w:rPr>
                <w:rFonts w:cs="Arial"/>
                <w:sz w:val="24"/>
              </w:rPr>
              <w:t>Council</w:t>
            </w:r>
            <w:proofErr w:type="spellEnd"/>
            <w:r w:rsidRPr="001D3766">
              <w:rPr>
                <w:rFonts w:cs="Arial"/>
                <w:sz w:val="24"/>
              </w:rPr>
              <w:t xml:space="preserve">, </w:t>
            </w:r>
            <w:proofErr w:type="spellStart"/>
            <w:r w:rsidRPr="001D3766">
              <w:rPr>
                <w:rFonts w:cs="Arial"/>
                <w:sz w:val="24"/>
              </w:rPr>
              <w:t>OeAD</w:t>
            </w:r>
            <w:proofErr w:type="spellEnd"/>
            <w:r w:rsidRPr="001D3766">
              <w:rPr>
                <w:rFonts w:cs="Arial"/>
                <w:sz w:val="24"/>
              </w:rPr>
              <w:t xml:space="preserve"> w Austrii);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6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lastRenderedPageBreak/>
              <w:t>jednoznaczne wskazanie NAWA w Szczegółowym Opisie Osi Priorytetowych dla programu PO WER, jako beneficjenta dla projektów pozakonkursowych w działaniu 3.3;</w:t>
            </w:r>
          </w:p>
          <w:p w:rsidR="007C0CDE" w:rsidRPr="001D3766" w:rsidRDefault="007C0CDE" w:rsidP="005435A0">
            <w:pPr>
              <w:autoSpaceDE w:val="0"/>
              <w:autoSpaceDN w:val="0"/>
              <w:adjustRightInd w:val="0"/>
              <w:spacing w:before="60" w:after="60" w:line="360" w:lineRule="auto"/>
              <w:ind w:left="318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D3766">
              <w:rPr>
                <w:rFonts w:ascii="Arial" w:hAnsi="Arial" w:cs="Arial"/>
                <w:sz w:val="24"/>
                <w:szCs w:val="24"/>
                <w:lang w:eastAsia="pl-PL"/>
              </w:rPr>
              <w:t>uzasadnionym jest, aby to Agencja – jako podmiot z dużym potencjałem rozwojowym, świeżą perspektywą podejścia do problematyki umiędzynarodowienia, siecią kontaktów i ugruntowaną pozycją w środowisku akademickim oraz zdefiniowanymi potrzebami - była wnioskodawcą w projekcie opisanym w przedmiotowej fiszce.</w:t>
            </w:r>
          </w:p>
        </w:tc>
      </w:tr>
      <w:tr w:rsidR="007C0CDE" w:rsidRPr="00BF68CD" w:rsidTr="005435A0">
        <w:trPr>
          <w:trHeight w:val="434"/>
        </w:trPr>
        <w:tc>
          <w:tcPr>
            <w:tcW w:w="226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lastRenderedPageBreak/>
              <w:t>Czy projekt będzie realizowany w partnerstwie?</w:t>
            </w:r>
          </w:p>
        </w:tc>
        <w:tc>
          <w:tcPr>
            <w:tcW w:w="183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TAK</w:t>
            </w:r>
          </w:p>
        </w:tc>
        <w:tc>
          <w:tcPr>
            <w:tcW w:w="1846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0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NIE</w:t>
            </w:r>
          </w:p>
        </w:tc>
        <w:tc>
          <w:tcPr>
            <w:tcW w:w="186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</w:tr>
      <w:tr w:rsidR="007C0CDE" w:rsidRPr="00BF68CD" w:rsidTr="005435A0">
        <w:trPr>
          <w:trHeight w:val="434"/>
        </w:trPr>
        <w:tc>
          <w:tcPr>
            <w:tcW w:w="226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 xml:space="preserve">Podmioty, które będą partnerami </w:t>
            </w:r>
            <w:r w:rsidRPr="001D3766">
              <w:rPr>
                <w:rFonts w:ascii="Arial" w:hAnsi="Arial" w:cs="Arial"/>
                <w:sz w:val="24"/>
                <w:szCs w:val="24"/>
              </w:rPr>
              <w:br/>
              <w:t xml:space="preserve">w projekcie </w:t>
            </w:r>
            <w:r w:rsidRPr="001D3766">
              <w:rPr>
                <w:rFonts w:ascii="Arial" w:hAnsi="Arial" w:cs="Arial"/>
                <w:sz w:val="24"/>
                <w:szCs w:val="24"/>
              </w:rPr>
              <w:br/>
              <w:t>i uzasadnienie ich wyboru</w:t>
            </w:r>
          </w:p>
        </w:tc>
        <w:tc>
          <w:tcPr>
            <w:tcW w:w="7393" w:type="dxa"/>
            <w:gridSpan w:val="1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Nie dotyczy</w:t>
            </w:r>
          </w:p>
        </w:tc>
      </w:tr>
      <w:tr w:rsidR="007C0CDE" w:rsidRPr="00BF68CD" w:rsidTr="005435A0">
        <w:trPr>
          <w:trHeight w:val="434"/>
        </w:trPr>
        <w:tc>
          <w:tcPr>
            <w:tcW w:w="226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Czy projekt będzie projektem grantowym?</w:t>
            </w:r>
          </w:p>
        </w:tc>
        <w:tc>
          <w:tcPr>
            <w:tcW w:w="184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TAK</w:t>
            </w:r>
          </w:p>
        </w:tc>
        <w:tc>
          <w:tcPr>
            <w:tcW w:w="1843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NIE</w:t>
            </w:r>
          </w:p>
        </w:tc>
        <w:tc>
          <w:tcPr>
            <w:tcW w:w="186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</w:tr>
      <w:tr w:rsidR="007C0CDE" w:rsidRPr="00BF68CD" w:rsidTr="005435A0">
        <w:trPr>
          <w:trHeight w:val="434"/>
        </w:trPr>
        <w:tc>
          <w:tcPr>
            <w:tcW w:w="226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 xml:space="preserve">Przewidywany termin </w:t>
            </w:r>
            <w:r w:rsidRPr="001D3766">
              <w:rPr>
                <w:rFonts w:ascii="Arial" w:hAnsi="Arial" w:cs="Arial"/>
                <w:sz w:val="24"/>
                <w:szCs w:val="24"/>
              </w:rPr>
              <w:br/>
              <w:t xml:space="preserve">złożenia wniosku </w:t>
            </w:r>
            <w:r w:rsidRPr="001D3766">
              <w:rPr>
                <w:rFonts w:ascii="Arial" w:hAnsi="Arial" w:cs="Arial"/>
                <w:sz w:val="24"/>
                <w:szCs w:val="24"/>
              </w:rPr>
              <w:br/>
              <w:t>o dofinansowanie</w:t>
            </w:r>
            <w:r w:rsidRPr="001D3766">
              <w:rPr>
                <w:rFonts w:ascii="Arial" w:hAnsi="Arial" w:cs="Arial"/>
                <w:sz w:val="24"/>
                <w:szCs w:val="24"/>
              </w:rPr>
              <w:br/>
              <w:t xml:space="preserve">(kwartał albo miesiąc oraz </w:t>
            </w:r>
            <w:r w:rsidRPr="001D3766">
              <w:rPr>
                <w:rFonts w:ascii="Arial" w:hAnsi="Arial" w:cs="Arial"/>
                <w:sz w:val="24"/>
                <w:szCs w:val="24"/>
              </w:rPr>
              <w:lastRenderedPageBreak/>
              <w:t>rok)</w:t>
            </w:r>
          </w:p>
        </w:tc>
        <w:tc>
          <w:tcPr>
            <w:tcW w:w="7393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lastRenderedPageBreak/>
              <w:t>IV kwartał 2020</w:t>
            </w:r>
          </w:p>
        </w:tc>
      </w:tr>
      <w:tr w:rsidR="007C0CDE" w:rsidRPr="00BF68CD" w:rsidTr="005435A0">
        <w:trPr>
          <w:trHeight w:val="469"/>
        </w:trPr>
        <w:tc>
          <w:tcPr>
            <w:tcW w:w="2266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lastRenderedPageBreak/>
              <w:t xml:space="preserve">Przewidywany okres realizacji projektu </w:t>
            </w:r>
          </w:p>
        </w:tc>
        <w:tc>
          <w:tcPr>
            <w:tcW w:w="1832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Data rozpoczęcia (miesiąc oraz rok)</w:t>
            </w:r>
          </w:p>
        </w:tc>
        <w:tc>
          <w:tcPr>
            <w:tcW w:w="1846" w:type="dxa"/>
            <w:gridSpan w:val="4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lipiec  2021</w:t>
            </w:r>
          </w:p>
        </w:tc>
        <w:tc>
          <w:tcPr>
            <w:tcW w:w="1850" w:type="dxa"/>
            <w:gridSpan w:val="6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Data zakończenia (miesiąc oraz rok)</w:t>
            </w:r>
          </w:p>
        </w:tc>
        <w:tc>
          <w:tcPr>
            <w:tcW w:w="186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wrzesień 2023</w:t>
            </w:r>
          </w:p>
        </w:tc>
      </w:tr>
      <w:tr w:rsidR="007C0CDE" w:rsidRPr="001D3766" w:rsidTr="005435A0">
        <w:trPr>
          <w:trHeight w:val="567"/>
        </w:trPr>
        <w:tc>
          <w:tcPr>
            <w:tcW w:w="9659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SZACOWANY BUDŻET PROJEKTU</w:t>
            </w:r>
          </w:p>
        </w:tc>
      </w:tr>
      <w:tr w:rsidR="007C0CDE" w:rsidRPr="001D3766" w:rsidTr="005435A0">
        <w:trPr>
          <w:trHeight w:val="567"/>
        </w:trPr>
        <w:tc>
          <w:tcPr>
            <w:tcW w:w="9659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Szacowana kwota wydatków w projekcie w podziale na lata i ogółem (PLN)</w:t>
            </w:r>
          </w:p>
        </w:tc>
      </w:tr>
      <w:tr w:rsidR="007C0CDE" w:rsidRPr="001D3766" w:rsidTr="005435A0">
        <w:trPr>
          <w:trHeight w:val="567"/>
        </w:trPr>
        <w:tc>
          <w:tcPr>
            <w:tcW w:w="214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w roku 2021</w:t>
            </w:r>
          </w:p>
        </w:tc>
        <w:tc>
          <w:tcPr>
            <w:tcW w:w="2126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w roku 2022</w:t>
            </w:r>
          </w:p>
        </w:tc>
        <w:tc>
          <w:tcPr>
            <w:tcW w:w="2268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w roku 2023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ogółem</w:t>
            </w:r>
          </w:p>
        </w:tc>
      </w:tr>
      <w:tr w:rsidR="007C0CDE" w:rsidRPr="001D3766" w:rsidTr="005435A0">
        <w:trPr>
          <w:trHeight w:val="567"/>
        </w:trPr>
        <w:tc>
          <w:tcPr>
            <w:tcW w:w="214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1 000 000,00</w:t>
            </w:r>
          </w:p>
        </w:tc>
        <w:tc>
          <w:tcPr>
            <w:tcW w:w="2126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 xml:space="preserve">  2 500 000,00</w:t>
            </w:r>
          </w:p>
        </w:tc>
        <w:tc>
          <w:tcPr>
            <w:tcW w:w="2268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 xml:space="preserve">  1 732 500,00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5 232 500,00</w:t>
            </w:r>
          </w:p>
        </w:tc>
      </w:tr>
      <w:tr w:rsidR="007C0CDE" w:rsidRPr="001D3766" w:rsidTr="005435A0">
        <w:trPr>
          <w:trHeight w:val="567"/>
        </w:trPr>
        <w:tc>
          <w:tcPr>
            <w:tcW w:w="9659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Szacowany wkład własny beneficjenta (PLN)</w:t>
            </w:r>
          </w:p>
        </w:tc>
      </w:tr>
      <w:tr w:rsidR="007C0CDE" w:rsidRPr="001D3766" w:rsidTr="005435A0">
        <w:trPr>
          <w:trHeight w:val="567"/>
        </w:trPr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TAK</w:t>
            </w:r>
          </w:p>
        </w:tc>
        <w:tc>
          <w:tcPr>
            <w:tcW w:w="5100" w:type="dxa"/>
            <w:gridSpan w:val="1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...………………………………… (PLN)</w:t>
            </w:r>
          </w:p>
        </w:tc>
        <w:tc>
          <w:tcPr>
            <w:tcW w:w="1135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NIE</w:t>
            </w:r>
          </w:p>
        </w:tc>
        <w:tc>
          <w:tcPr>
            <w:tcW w:w="200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</w:tr>
      <w:tr w:rsidR="007C0CDE" w:rsidRPr="001D3766" w:rsidTr="005435A0">
        <w:trPr>
          <w:trHeight w:val="567"/>
        </w:trPr>
        <w:tc>
          <w:tcPr>
            <w:tcW w:w="9659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Szacowany wkład UE (PLN)</w:t>
            </w:r>
          </w:p>
        </w:tc>
      </w:tr>
      <w:tr w:rsidR="007C0CDE" w:rsidRPr="001D3766" w:rsidTr="005435A0">
        <w:trPr>
          <w:trHeight w:val="567"/>
        </w:trPr>
        <w:tc>
          <w:tcPr>
            <w:tcW w:w="9659" w:type="dxa"/>
            <w:gridSpan w:val="17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4 412 044,00 (84,32%)</w:t>
            </w:r>
          </w:p>
        </w:tc>
      </w:tr>
      <w:tr w:rsidR="007C0CDE" w:rsidRPr="001D3766" w:rsidTr="005435A0">
        <w:trPr>
          <w:trHeight w:val="567"/>
        </w:trPr>
        <w:tc>
          <w:tcPr>
            <w:tcW w:w="9659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OPIS PROJEKTU</w:t>
            </w:r>
          </w:p>
        </w:tc>
      </w:tr>
      <w:tr w:rsidR="007C0CDE" w:rsidRPr="00BF68CD" w:rsidTr="005435A0">
        <w:trPr>
          <w:trHeight w:val="567"/>
        </w:trPr>
        <w:tc>
          <w:tcPr>
            <w:tcW w:w="9659" w:type="dxa"/>
            <w:gridSpan w:val="17"/>
            <w:tcBorders>
              <w:top w:val="single" w:sz="12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Uzasadnienie realizacji projektu w trybie pozakonkursowym</w:t>
            </w:r>
          </w:p>
        </w:tc>
      </w:tr>
      <w:tr w:rsidR="007C0CDE" w:rsidRPr="00BF68CD" w:rsidTr="005435A0">
        <w:trPr>
          <w:trHeight w:val="567"/>
        </w:trPr>
        <w:tc>
          <w:tcPr>
            <w:tcW w:w="9659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NAWA jest instytucją realizującą zadania ustawowe o charakterze systemowym – działa na rzecz systemu szkolnictwa wyższego i nauki, m.in. w zakresie: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2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inicjowania i realizowania działań wspierających międzynarodową wymianę akademicką oraz procesu umiędzynarodowienia instytucji szkolnictwa wyższego i nauki;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2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upowszechniania informacji o polskim systemie szkolnictwa wyższego i nauki;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2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upowszechniania języka polskiego poza granicami Rzeczypospolitej Polskiej;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2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prowadzenia spraw osób podejmujących i odbywających studia, kształcenie w szkołach doktorskich, kształcenie specjalistyczne i inne formy kształcenia, uczestniczących w prowadzeniu działalności naukowej;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2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 xml:space="preserve">prowadzenia spraw z zakresu uznawalności wyższego wykształcenia i stopni </w:t>
            </w:r>
            <w:r w:rsidRPr="001D3766">
              <w:rPr>
                <w:rFonts w:cs="Arial"/>
                <w:sz w:val="24"/>
              </w:rPr>
              <w:lastRenderedPageBreak/>
              <w:t>naukowych;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2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uwierzytelniania dokumentów dot. przebiegu lub ukończeniem studiów, przeznaczone do obrotu prawnego z zagranicą.</w:t>
            </w:r>
          </w:p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 xml:space="preserve">Niniejszy projekt jest projektem koncepcyjnym - poprzez zaawansowane i pilotażowe dla Agencji działania, umacnia jej doskonałość w pełnieniu strategicznych zadań wspierających cały system szkolnictwa wyższego i nauki.  </w:t>
            </w:r>
          </w:p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Sama Agencja działa parasolowo w obszarze wzrostu umiędzynarodowiania szkolnictwa wyższego i nauki – stąd też, nie bez znaczenia wskazana została w Szczegółowym Opisie Osi Priorytetowych dla programu PO WER, jako beneficjent dla projektów pozakonkursowych w działaniu 3.3.</w:t>
            </w:r>
          </w:p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Projekt służył będzie wypracowaniu oraz trwałemu wdrożeniu rozwiązań przyczyniających się do doskonalenia potencjału intelektualnego i technicznego NAWA – Agencja będzie wykorzystywała wypracowane rozwiązania w kolejnych latach po zakończeniu realizacji projektu.</w:t>
            </w:r>
          </w:p>
        </w:tc>
      </w:tr>
      <w:tr w:rsidR="007C0CDE" w:rsidRPr="00BF68CD" w:rsidTr="005435A0">
        <w:trPr>
          <w:trHeight w:val="567"/>
        </w:trPr>
        <w:tc>
          <w:tcPr>
            <w:tcW w:w="9659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lastRenderedPageBreak/>
              <w:t>Zasadnicze założenia interwencji publicznej, której wsparcie zaplanowano w ramach projektu</w:t>
            </w:r>
          </w:p>
        </w:tc>
      </w:tr>
      <w:tr w:rsidR="007C0CDE" w:rsidRPr="00BF68CD" w:rsidTr="005435A0">
        <w:trPr>
          <w:trHeight w:val="567"/>
        </w:trPr>
        <w:tc>
          <w:tcPr>
            <w:tcW w:w="9659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Interwencja publiczna zaplanowana w niniejszym projekcie ukierunkowana jest na profesjonalizację i doskonalenie beneficjenta – NAWA tak, aby mogła ona jak najlepiej odpowiadać na potrzeby środowiska akademickiego i naukowego w zakresie umiędzynarodowiania, aby komunikacja z interesariuszami działań NAWA przebiegała sprawnie i bez zakłóceń</w:t>
            </w:r>
            <w:r>
              <w:rPr>
                <w:rFonts w:ascii="Arial" w:hAnsi="Arial" w:cs="Arial"/>
                <w:sz w:val="24"/>
                <w:szCs w:val="24"/>
              </w:rPr>
              <w:t>, aby była zdolna do zapewnienia równego i pełnego dostępu do swoich programów i działań dla</w:t>
            </w:r>
            <w:r w:rsidRPr="00441FD6">
              <w:rPr>
                <w:rFonts w:ascii="Arial" w:hAnsi="Arial" w:cs="Arial"/>
                <w:sz w:val="24"/>
                <w:szCs w:val="24"/>
              </w:rPr>
              <w:t xml:space="preserve"> osób mających mniejsze możliwości</w:t>
            </w:r>
            <w:r>
              <w:rPr>
                <w:rFonts w:ascii="Arial" w:hAnsi="Arial" w:cs="Arial"/>
                <w:sz w:val="24"/>
                <w:szCs w:val="24"/>
              </w:rPr>
              <w:t xml:space="preserve"> lub napotykających bariery architektoniczne</w:t>
            </w:r>
            <w:r w:rsidRPr="001D3766">
              <w:rPr>
                <w:rFonts w:ascii="Arial" w:hAnsi="Arial" w:cs="Arial"/>
                <w:sz w:val="24"/>
                <w:szCs w:val="24"/>
              </w:rPr>
              <w:t xml:space="preserve"> Interwencja wspiera potencjał intelektualny i techniczny Agencji, który wykorzystywany będzie przez nią w kolejnych latach. Stanowi również odpowiedź na aktualne zagrożenia w rozwoju mobilności (epidemie, klęski żywiołowe) </w:t>
            </w:r>
            <w:r>
              <w:rPr>
                <w:rFonts w:ascii="Arial" w:hAnsi="Arial" w:cs="Arial"/>
                <w:sz w:val="24"/>
                <w:szCs w:val="24"/>
              </w:rPr>
              <w:t xml:space="preserve">oraz specjalne potrzeby grupy odbiorców - </w:t>
            </w:r>
            <w:r w:rsidRPr="001D3766">
              <w:rPr>
                <w:rFonts w:ascii="Arial" w:hAnsi="Arial" w:cs="Arial"/>
                <w:sz w:val="24"/>
                <w:szCs w:val="24"/>
              </w:rPr>
              <w:t xml:space="preserve">dzięki wprowadzeniu zdalnych form komunikacji. Opracowania i analizy wytworzone w trakcie realizacji projektu i upowszechnione na stronie NAWA, w sposób pośredni wesprą działania uczelni i instytutów (instytucje te, korzystając z danych NAWA, będą mogły zaplanować w sposób synergiczny własne strategie umiędzynarodowienia, składać wnioski o wsparcie z NAWA adekwatne do bieżących potrzeb i trendów w </w:t>
            </w:r>
            <w:r w:rsidRPr="001D3766">
              <w:rPr>
                <w:rFonts w:ascii="Arial" w:hAnsi="Arial" w:cs="Arial"/>
                <w:sz w:val="24"/>
                <w:szCs w:val="24"/>
              </w:rPr>
              <w:lastRenderedPageBreak/>
              <w:t xml:space="preserve">zakresie umiędzynarodowienia). </w:t>
            </w:r>
          </w:p>
        </w:tc>
      </w:tr>
      <w:tr w:rsidR="007C0CDE" w:rsidRPr="00BF68CD" w:rsidTr="005435A0">
        <w:trPr>
          <w:trHeight w:val="636"/>
        </w:trPr>
        <w:tc>
          <w:tcPr>
            <w:tcW w:w="9659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lastRenderedPageBreak/>
              <w:t>Główne zadania przewidziane do realizacji w projekcie ze wskazaniem grup docelowych</w:t>
            </w:r>
          </w:p>
        </w:tc>
      </w:tr>
      <w:tr w:rsidR="007C0CDE" w:rsidRPr="00BF68CD" w:rsidTr="005435A0">
        <w:trPr>
          <w:trHeight w:val="567"/>
        </w:trPr>
        <w:tc>
          <w:tcPr>
            <w:tcW w:w="9659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 xml:space="preserve">W kolejnych latach działania Agencji główne zadania projektowe będą się koncentrować na doskonaleniu i standaryzacji procesów. Zadania w projekcie realizowane przez Narodową Agencję Wymiany Akademickiej w latach 2021-2023 będą koncentrować się w szczególności na poniższych obszarach: 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 xml:space="preserve">Doskonalenie kompetencji Zespołu NAWA i niwelowanie luk kompetencyjnych poprzez dobór i realizację adekwatnych form rozwojowych. NAWA planuje zapewnić swoim pracownikom szeroki wachlarz usług rozwojowych, które będą trafiały w bieżące potrzeby Agencji oraz świadczone będą w formach odpowiadających pracownikom i zapewniających najlepszy efekt końcowy. Dla kadry kierowniczej oraz wybranych pracowników zaplanowano rozmowy rozwojowe ukierunkowane na poszukiwanie dróg doskonalenia realizacji przypisanych im zadań (coaching menedżerski), a także wspierające ogólny rozwój, pracę nad konkretnymi trudnościami i realizację jasno określonych celów (life coaching). Wszyscy pracownicy będą mogli doskonalić swoje umiejętności językowe, uzupełniać i pogłębiać wiedzę specjalistyczną, nabywać doświadczenie oraz umiejętności praktyczne i miękkie podczas dłuższych form rozwojowych (np. kursów, staży w placówkach MSZ i instytucji otoczenia szkolnictwa wyższego i nauki, studiów podyplomowych) oraz krótszych, dynamicznych form rozwojowych (szkoleń, wizyt studyjnych, konferencji tematycznych). Wybór typów, tematyki i formy usług rozwojowych wynikał będzie z analizy potrzeb NAWA oraz pracownika, dokonywanej m.in. podczas corocznych ocen pracowniczych, rozmów </w:t>
            </w:r>
            <w:proofErr w:type="spellStart"/>
            <w:r w:rsidRPr="001D3766">
              <w:rPr>
                <w:rFonts w:cs="Arial"/>
                <w:sz w:val="24"/>
              </w:rPr>
              <w:t>coachingowych</w:t>
            </w:r>
            <w:proofErr w:type="spellEnd"/>
            <w:r w:rsidRPr="001D3766">
              <w:rPr>
                <w:rFonts w:cs="Arial"/>
                <w:sz w:val="24"/>
              </w:rPr>
              <w:t>, decyzji kierowniczych (jako dynamiczna reakcja na bieżące potrzeby wynikające np. ze zmiany uregulowań prawnych lub zarządczych).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Doskonalenie obsługi procesów NAWA. Działania w ramach tego zadania koncentrowały się będą na wyodrębnieniu w strukturze NAWA komórek odpowiedzianych za: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8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ocenę stanu wszystkich procesów zachodzących w Agencji (audyt wewnętrzny wspomagający decyzje zarządcze, identyfikujący rozbieżności między stanem bieżącym a pożądanym, rekomendujący rozwiązania);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8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lastRenderedPageBreak/>
              <w:t>kontrolę beneficjentów NAWA pod względem prawidłowości realizacji zadań/ projektów i wydatkowania przekazanych im środków (specjaliści odpowiedzialni za coroczny plan kontroli: dobór próby do kontroli na podstawie wyznaczonych kryteriów i analizy ryzyka, przeprowadzenie kontroli u beneficjenta).</w:t>
            </w:r>
          </w:p>
          <w:p w:rsidR="007C0CDE" w:rsidRPr="001D3766" w:rsidRDefault="007C0CDE" w:rsidP="005435A0">
            <w:pPr>
              <w:pStyle w:val="Akapitzlist"/>
              <w:spacing w:before="120" w:after="120"/>
              <w:ind w:left="318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Ponadto opracowane zostaną i wdrożone procedury i narzędzia teleinformatyczne wspomagające kluczowe procesy NAWA w tym audyt wewnętrzny, kontrolę beneficjentów, politykę HR, controling finansowy, obsługę wnioskodawców, beneficjentów i ekspertów oceniających wnioski. Ważnym zadaniem narzędzi teleinformatycznych będzie usprawnienie przepływu informacji pomiędzy interesariuszami zewnętrznymi (ministerstwa, organy kontrolne, beneficjenci programów NAWA) i wewnętrznymi (pracownicy, kadra kierownicza) poprzez dynamiczne generowanie i dostarczanie statystyk, raportów i zestawień na ich użytek.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Doskonalenie oferty NAWA pod kątem bieżących potrzeb i trendów w obszarze umiędzynarodowienia szkolnictwa wyższego. Działanie to będzie związane z prowadzonym w NAWA procesem digitalizacji wybranych zadań Agencji (przejście na formę zdalną świadczenia działań ze względu na aktualne potrzeby podyktowane stanem epidemii COVID-19 oraz regulacje UE). W ramach realizacji niniejszego zadania NAWA wpierała będzie rozwój i obsługę: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7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kursów języka polskiego w formie on-line, zdalnego procesu certyfikacji języka polskiego, obsługę lektorów języka polskiego;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7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 xml:space="preserve">system wspierający proces uznawalności wykształcenia (m.in. uruchomienie modułu ułatwiającego pracownikom Agencji samodzielną weryfikację  konkretnego dyplomu/świadectwa; uruchomienie platformy on-line umożliwiającej stały kontakt z interesariuszami oraz wymianę informacji i pomoc w kwestiach związanych z uznawalnością zagranicznych dokumentów o wykształceniu. </w:t>
            </w:r>
          </w:p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Ponadto, w ramach doskonalenia programów NAWA, realizowane będą badania, analizy strategiczne, konsultacje eksperckie założeń programów. Wnioski i rekomendacje pozyskane w wyniku realizacji z ww. opracowań posłużą Agencji do: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7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oceny wpływu programów oraz innych działań realizowanych przez NAWA na rozwój nauki i gospodarki (oddziaływanie na poziomie globalnym) i dokonania rewizji własnej strategii działania;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7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 xml:space="preserve">oceny użyteczności i trafności działań/programów dla bezpośrednich beneficjentów NAWA (ocena dynamiczna natychmiastowego oddziaływania na poziomie </w:t>
            </w:r>
            <w:r w:rsidRPr="001D3766">
              <w:rPr>
                <w:rFonts w:cs="Arial"/>
                <w:sz w:val="24"/>
              </w:rPr>
              <w:lastRenderedPageBreak/>
              <w:t>szczegółowym – jakie efekty przynoszą działania/programy NAWA stypendystom i instytucjom korzystającym z tych działań/programów) i dokonania modyfikacji oferty programowej/założeń programów.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0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Wdrożenie sprofilowanych strategii rozwoju współpracy i umiędzynarodowienia polskiego szkolnictwa wyższego i nauki. NAWA zamierza wpłynąć na poprawę umiędzynarodowienia polskiej nauki i szkolnictwa wyższego poprzez: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9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 xml:space="preserve">akcje skierowane do alumnów polskich uczelni oraz programów NAWA (np. spotkania, sieciowanie, programy powrotów, programy poleceń, itp.) - jest to bowiem strategiczna grupa dzięki której można prowadzić wysoce skuteczny marketing referencyjny – strategię poleceń bazujących na wiarygodności, wiedzy i więzi alumna z uczelnią/NAWA. </w:t>
            </w:r>
          </w:p>
          <w:p w:rsidR="007C0CDE" w:rsidRPr="001D3766" w:rsidRDefault="007C0CDE" w:rsidP="007C0CDE">
            <w:pPr>
              <w:pStyle w:val="Akapitzlist"/>
              <w:numPr>
                <w:ilvl w:val="0"/>
                <w:numId w:val="29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 xml:space="preserve">akcje skierowane do Polonii i placówek zagranicznych MSZ oraz zagranicznych instytucji otoczenia nauki i szkolnictwa wyższego. Aby udrożnić kanał dotarcia do Polonii i zwiększyć jej udział w mobilności akademickiej na polskich uczelniach i w instytutach, Agencja zamierza umocnić współpracę z placówkami MSZ i instytucjami otoczenia nauki i szkolnictwa wyższego (wdrożyć plan współpracy, komunikacji, wzajemnej pomocy, wymiany doświadczeń).  </w:t>
            </w:r>
          </w:p>
          <w:p w:rsidR="007C0CDE" w:rsidRDefault="007C0CDE" w:rsidP="007C0CDE">
            <w:pPr>
              <w:pStyle w:val="Akapitzlist"/>
              <w:numPr>
                <w:ilvl w:val="0"/>
                <w:numId w:val="29"/>
              </w:numPr>
              <w:spacing w:before="120" w:after="120"/>
              <w:ind w:left="318"/>
              <w:jc w:val="left"/>
              <w:rPr>
                <w:rFonts w:cs="Arial"/>
                <w:sz w:val="24"/>
              </w:rPr>
            </w:pPr>
            <w:r w:rsidRPr="001D3766">
              <w:rPr>
                <w:rFonts w:cs="Arial"/>
                <w:sz w:val="24"/>
              </w:rPr>
              <w:t>wdrożenie nowych, innowacyjnych formy zdalnej promocji/komunikacji, determinowanych nowymi zasadami wspierania internacjonalizacji szkolnictwa wyższego i nauki w czasie pandemii COVID-19. W ramach działania przewidziane jest stworzenie form audiowizualnych (filmów, konferencji, szkoleń on-line skierowanych do przyszłych i obecnych beneficjentów NAWA oraz do szeroko rozumianej opinii publicznej). Materiały byłyby wykorzystywane przede wszystkim w trakcie wydarzeń online, w których NAWA brałaby udział (zdalne stoiska na targach, konferencjach, seminariach) oraz dystrybuowane/upowszechniane w mediach społecznościowych, serwisach internetowych.</w:t>
            </w:r>
          </w:p>
          <w:p w:rsidR="007C0CDE" w:rsidRPr="00AA5305" w:rsidRDefault="007C0CDE" w:rsidP="005435A0">
            <w:pPr>
              <w:spacing w:before="120" w:after="120" w:line="360" w:lineRule="auto"/>
              <w:ind w:left="3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Nad realizacją ww. zadań sprawowany będzie nadzór obejmujący: monitoring i kontrolę osiąganych kamieni milowych/rezultatów/produktów, sprawozdawczość rzeczowo-finansową, obsługę finansową projektu, przeprowadzanie postępowań konkurencyjnych, </w:t>
            </w:r>
            <w:r w:rsidRPr="001D3766">
              <w:rPr>
                <w:rFonts w:ascii="Arial" w:hAnsi="Arial" w:cs="Arial"/>
                <w:sz w:val="24"/>
                <w:szCs w:val="24"/>
              </w:rPr>
              <w:t>informowanie o projekcie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1D3766">
              <w:rPr>
                <w:rFonts w:ascii="Arial" w:hAnsi="Arial" w:cs="Arial"/>
                <w:sz w:val="24"/>
                <w:szCs w:val="24"/>
              </w:rPr>
              <w:t>Organizowane będą spotkania Zespołu projektowego, na których omawiane będą postępy w realizacji projektu, ryzyka i środki zaradcze, aktualizacje/zmiany regulacji i wytycznych obowiązujących przy wdrażaniu projektów finansowanych ze środków funduszy europejskich.</w:t>
            </w:r>
          </w:p>
        </w:tc>
      </w:tr>
      <w:tr w:rsidR="007C0CDE" w:rsidRPr="00BF68CD" w:rsidTr="005435A0">
        <w:trPr>
          <w:trHeight w:val="567"/>
        </w:trPr>
        <w:tc>
          <w:tcPr>
            <w:tcW w:w="9659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lastRenderedPageBreak/>
              <w:t>Zasadnicze działania ukierunkowane na wsparcie podejmowanej interwencji publicznej, zrealizowane dotychczas przez wnioskodawcę lub inne instytucje</w:t>
            </w:r>
          </w:p>
        </w:tc>
      </w:tr>
      <w:tr w:rsidR="007C0CDE" w:rsidRPr="00BF68CD" w:rsidTr="005435A0">
        <w:trPr>
          <w:trHeight w:val="567"/>
        </w:trPr>
        <w:tc>
          <w:tcPr>
            <w:tcW w:w="9659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 xml:space="preserve">Projekt opisany w przedmiotowej fiszce jest drugim etapem interwencji zaplanowanej na lata 2018-2020 i finansowanej ze środków europejskich w ramach działania 3.3. Umiędzynarodowienie polskiego szkolnictwa wyższego. NAWA powstała w październiku w roku 2017 i potrzebowała znaczącego wsparcia w zakresie budowania zdolności instytucjonalnej i funkcjonowania. Projekt, stanowiący pierwszy etap interwencji, pozwolił NAWA na zainicjowanie polityki szkoleniowej agencji, wypracowanie podstawowych procedur zarządczych, implementację najważniejszych systemów informatycznych wspomagających realizację i obsługę programów, rozwój sieci współpracy z instytucjami partnerskimi i interesariuszami akademickimi i społecznymi, realizację działań promujących ofertę dydaktyczną polskich uczelni i instytutów oraz ofertę programową NAWA na znacznie szerszą skalę niż miało by to miejsce bez wsparcia ze środków projektu PO WER.  </w:t>
            </w:r>
          </w:p>
        </w:tc>
      </w:tr>
      <w:tr w:rsidR="007C0CDE" w:rsidRPr="00BF68CD" w:rsidTr="005435A0">
        <w:trPr>
          <w:trHeight w:val="567"/>
        </w:trPr>
        <w:tc>
          <w:tcPr>
            <w:tcW w:w="9659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Uwarunkowania skutecznej realizacji założeń interwencji publicznej (interesariusze, stan prawny, itd.)</w:t>
            </w:r>
          </w:p>
        </w:tc>
      </w:tr>
      <w:tr w:rsidR="007C0CDE" w:rsidRPr="00BF68CD" w:rsidTr="005435A0">
        <w:trPr>
          <w:trHeight w:val="567"/>
        </w:trPr>
        <w:tc>
          <w:tcPr>
            <w:tcW w:w="9659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 xml:space="preserve">W polskim systemie instytucji wspierających rozwój nauki i szkolnictwa wyższego skutecznie działają podmioty, których celem jest finansowanie projektów badawczych (Narodowe Centrum Nauki, Narodowe Centrum Badań i Rozwoju), wsparcie realizacji badań przez najlepszych naukowców (Fundacja na rzecz Nauki Polskiej), wsparcie polskich naukowców w uczestnictwie w programach ramowych UE (Krajowy Punkt Kontaktowy) oraz organizowanie programów krótkookresowej międzynarodowej wymiany akademickiej w ramach programów finansowanych przez Unię Europejską (Fundacja Rozwoju Systemu Edukacji). Ze wszystkimi ww. instytucjami NAWA podjęła współpracę. Wprowadzona w roku 2018 ustawa 2.0 (Prawo o szkolnictwie wyższym i nauce) została zaimplementowana przez instytucje nauki i szkolnictwa wyższego  - ustawa porządkuje regulacje wynikające z 4 ustaw:  prawo o szkolnictwie wyższym, ustawę o zasadach finansowania nauki, ustawę o stopniach i tytule naukowym, a także ustawę o kredytach i pożyczkach studenckich. Ustawa 2.0 nadaje również uprawnienia Dyrektorowi NAWA m.in. do uwierzytelniania dokumentów potwierdzających ukończenie studiów, dyplomów doktorskich i habilitacyjnych </w:t>
            </w:r>
            <w:r w:rsidRPr="001D3766">
              <w:rPr>
                <w:rFonts w:ascii="Arial" w:hAnsi="Arial" w:cs="Arial"/>
                <w:sz w:val="24"/>
                <w:szCs w:val="24"/>
              </w:rPr>
              <w:lastRenderedPageBreak/>
              <w:t>nadanych przez uczelnie; udzielania informacji o dyplomie wydanym przez zagraniczną uczelnię; kierowania cudzoziemców – stypendystów NAWA na studia/szkoły doktorskie; zwalniania z opłat za usługi edukacyjne cudzoziemców – stypendystów NAWA.</w:t>
            </w:r>
          </w:p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 xml:space="preserve">Agencja, mając ugruntowane podstawy prawne funkcjonowania (Ustawa o NAWA, wybrane zapisy Ustawy 2.0) oraz nawiązaną współpracę z instytucjami systemu szkolnictwa wyższego i nauki, agencjami wykonawczymi działającymi na rzecz systemu oraz innymi instytucjami zarządzającymi programami edukacyjnymi, może z powodzeniem kontynuować długofalową politykę państwa polskiego w zakresie umiędzynarodowienia nauki i szkolnictwa wyższego. </w:t>
            </w:r>
          </w:p>
        </w:tc>
      </w:tr>
      <w:tr w:rsidR="007C0CDE" w:rsidRPr="00BF68CD" w:rsidTr="005435A0">
        <w:trPr>
          <w:trHeight w:val="567"/>
        </w:trPr>
        <w:tc>
          <w:tcPr>
            <w:tcW w:w="9659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lastRenderedPageBreak/>
              <w:t>Dalsze etapy planowane do wdrożenia poza projektem, o ile zostaną spełnione warunki umożliwiające ich skuteczne wykonanie</w:t>
            </w:r>
          </w:p>
        </w:tc>
      </w:tr>
      <w:tr w:rsidR="007C0CDE" w:rsidRPr="00BF68CD" w:rsidTr="005435A0">
        <w:trPr>
          <w:trHeight w:val="567"/>
        </w:trPr>
        <w:tc>
          <w:tcPr>
            <w:tcW w:w="9659" w:type="dxa"/>
            <w:gridSpan w:val="1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 xml:space="preserve">Realizacja projektu przyczyni się do rozwoju potencjału organizacyjnego (intelektualnego i technicznego), który będzie utrzymywany i wykorzystywany w dalszej działalności Agencji. Realizacja usług rozwojowych umocni kapitał ludzki Agencji, opracowany przejrzysty system zarządzania polityką </w:t>
            </w:r>
            <w:proofErr w:type="spellStart"/>
            <w:r w:rsidRPr="001D3766">
              <w:rPr>
                <w:rFonts w:ascii="Arial" w:hAnsi="Arial" w:cs="Arial"/>
                <w:sz w:val="24"/>
                <w:szCs w:val="24"/>
              </w:rPr>
              <w:t>HR’ową</w:t>
            </w:r>
            <w:proofErr w:type="spellEnd"/>
            <w:r w:rsidRPr="001D3766">
              <w:rPr>
                <w:rFonts w:ascii="Arial" w:hAnsi="Arial" w:cs="Arial"/>
                <w:sz w:val="24"/>
                <w:szCs w:val="24"/>
              </w:rPr>
              <w:t xml:space="preserve"> - wspierany przez doświadczonego eksperta oraz wspomagany narzędziami informatycznymi - usprawni proces zatrudniania, oceny i wynagradzania pracowników Agencji. </w:t>
            </w:r>
          </w:p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>Utworzone struktury audytu i kontroli, będą utrzymywane po zakończeniu realizacji projektu ze środków budżetowych podobnie, jak opracowane narzędzia informatyczne wpierające obsługę i realizację programów i zadań Agencji.</w:t>
            </w:r>
          </w:p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sz w:val="24"/>
                <w:szCs w:val="24"/>
              </w:rPr>
            </w:pPr>
            <w:r w:rsidRPr="001D3766">
              <w:rPr>
                <w:rFonts w:ascii="Arial" w:hAnsi="Arial" w:cs="Arial"/>
                <w:sz w:val="24"/>
                <w:szCs w:val="24"/>
              </w:rPr>
              <w:t xml:space="preserve">Przeprowadzone analizy, badania, a także strategie NAWA będą stanowiły punkt wyjścia dla oceny/ewaluacji działań Agencji, posłużą też instytucjom nauki i szkolnictw wyższego jako inspiracja do planowania zadań z zakresu internacjonalizacji. </w:t>
            </w:r>
          </w:p>
        </w:tc>
      </w:tr>
      <w:tr w:rsidR="007C0CDE" w:rsidRPr="001D3766" w:rsidTr="005435A0">
        <w:trPr>
          <w:trHeight w:val="396"/>
        </w:trPr>
        <w:tc>
          <w:tcPr>
            <w:tcW w:w="9659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ZAKŁADANE EFEKTY PROJEKTU WYRAŻONE WSKAŹNIKAMI (W PODZIALE NA PŁEĆ I OGÓŁEM)</w:t>
            </w:r>
          </w:p>
        </w:tc>
      </w:tr>
      <w:tr w:rsidR="007C0CDE" w:rsidRPr="001D3766" w:rsidTr="005435A0">
        <w:trPr>
          <w:trHeight w:val="455"/>
        </w:trPr>
        <w:tc>
          <w:tcPr>
            <w:tcW w:w="9659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WSKAŹNIKI REZULTATU</w:t>
            </w:r>
          </w:p>
        </w:tc>
      </w:tr>
      <w:tr w:rsidR="007C0CDE" w:rsidRPr="001D3766" w:rsidTr="005435A0">
        <w:trPr>
          <w:trHeight w:val="567"/>
        </w:trPr>
        <w:tc>
          <w:tcPr>
            <w:tcW w:w="4533" w:type="dxa"/>
            <w:gridSpan w:val="9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Nazwa wskaźnika</w:t>
            </w:r>
          </w:p>
        </w:tc>
        <w:tc>
          <w:tcPr>
            <w:tcW w:w="512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Wartość docelowa</w:t>
            </w:r>
          </w:p>
        </w:tc>
      </w:tr>
      <w:tr w:rsidR="007C0CDE" w:rsidRPr="001D3766" w:rsidTr="005435A0">
        <w:trPr>
          <w:trHeight w:val="567"/>
        </w:trPr>
        <w:tc>
          <w:tcPr>
            <w:tcW w:w="4533" w:type="dxa"/>
            <w:gridSpan w:val="9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W podziale na:</w:t>
            </w:r>
          </w:p>
        </w:tc>
        <w:tc>
          <w:tcPr>
            <w:tcW w:w="200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Ogółem w projekcie</w:t>
            </w:r>
          </w:p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C0CDE" w:rsidRPr="001D3766" w:rsidTr="005435A0">
        <w:trPr>
          <w:trHeight w:val="567"/>
        </w:trPr>
        <w:tc>
          <w:tcPr>
            <w:tcW w:w="4533" w:type="dxa"/>
            <w:gridSpan w:val="9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Mężczyzn</w:t>
            </w:r>
          </w:p>
        </w:tc>
        <w:tc>
          <w:tcPr>
            <w:tcW w:w="20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C0CDE" w:rsidRPr="001D3766" w:rsidTr="005435A0">
        <w:trPr>
          <w:trHeight w:val="433"/>
        </w:trPr>
        <w:tc>
          <w:tcPr>
            <w:tcW w:w="4533" w:type="dxa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Liczba instytucji, które zwiększyły zdolność instytucjonalną dzięki wsparciu EFS.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n/d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n/d</w:t>
            </w:r>
          </w:p>
        </w:tc>
        <w:tc>
          <w:tcPr>
            <w:tcW w:w="20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7C0CDE" w:rsidRPr="001D3766" w:rsidTr="005435A0">
        <w:trPr>
          <w:trHeight w:val="567"/>
        </w:trPr>
        <w:tc>
          <w:tcPr>
            <w:tcW w:w="9659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WSKAŹNIKI PRODUKTU</w:t>
            </w:r>
          </w:p>
        </w:tc>
      </w:tr>
      <w:tr w:rsidR="007C0CDE" w:rsidRPr="001D3766" w:rsidTr="005435A0">
        <w:trPr>
          <w:trHeight w:val="567"/>
        </w:trPr>
        <w:tc>
          <w:tcPr>
            <w:tcW w:w="4533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Nazwa wskaźnika</w:t>
            </w:r>
          </w:p>
        </w:tc>
        <w:tc>
          <w:tcPr>
            <w:tcW w:w="512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Wartość docelowa</w:t>
            </w:r>
          </w:p>
        </w:tc>
      </w:tr>
      <w:tr w:rsidR="007C0CDE" w:rsidRPr="001D3766" w:rsidTr="005435A0">
        <w:trPr>
          <w:trHeight w:val="567"/>
        </w:trPr>
        <w:tc>
          <w:tcPr>
            <w:tcW w:w="4533" w:type="dxa"/>
            <w:gridSpan w:val="9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W podziale na:</w:t>
            </w:r>
          </w:p>
        </w:tc>
        <w:tc>
          <w:tcPr>
            <w:tcW w:w="200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Ogółem w projekcie</w:t>
            </w:r>
          </w:p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C0CDE" w:rsidRPr="001D3766" w:rsidTr="005435A0">
        <w:trPr>
          <w:trHeight w:val="567"/>
        </w:trPr>
        <w:tc>
          <w:tcPr>
            <w:tcW w:w="4533" w:type="dxa"/>
            <w:gridSpan w:val="9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Mężczyzn</w:t>
            </w:r>
          </w:p>
        </w:tc>
        <w:tc>
          <w:tcPr>
            <w:tcW w:w="20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C0CDE" w:rsidRPr="001D3766" w:rsidTr="005435A0">
        <w:trPr>
          <w:trHeight w:val="417"/>
        </w:trPr>
        <w:tc>
          <w:tcPr>
            <w:tcW w:w="4533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Liczba instytucji objętych  wsparciem  zdolności instytucjonalnej w ramach środków EFS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n/d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n/d</w:t>
            </w:r>
          </w:p>
        </w:tc>
        <w:tc>
          <w:tcPr>
            <w:tcW w:w="20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7C0CDE" w:rsidRPr="001D3766" w:rsidTr="005435A0">
        <w:trPr>
          <w:trHeight w:val="417"/>
        </w:trPr>
        <w:tc>
          <w:tcPr>
            <w:tcW w:w="453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Liczba podmiotów wykorzystujących technologie informacyjno-komunikacyjne (TIK)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n/d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n/d</w:t>
            </w:r>
          </w:p>
        </w:tc>
        <w:tc>
          <w:tcPr>
            <w:tcW w:w="2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7C0CDE" w:rsidRPr="001D3766" w:rsidTr="005435A0">
        <w:trPr>
          <w:trHeight w:val="417"/>
        </w:trPr>
        <w:tc>
          <w:tcPr>
            <w:tcW w:w="453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Liczba pracowników NAWA, którzy otrzymali wsparcie w ramach projektu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</w:tr>
      <w:tr w:rsidR="007C0CDE" w:rsidRPr="001D3766" w:rsidTr="005435A0">
        <w:trPr>
          <w:trHeight w:val="417"/>
        </w:trPr>
        <w:tc>
          <w:tcPr>
            <w:tcW w:w="453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Liczba osób objętych szkoleniami / doradztwem w zakresie kompetencji cyfrowych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</w:tr>
      <w:tr w:rsidR="007C0CDE" w:rsidRPr="001D3766" w:rsidTr="005435A0">
        <w:trPr>
          <w:trHeight w:val="567"/>
        </w:trPr>
        <w:tc>
          <w:tcPr>
            <w:tcW w:w="9659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SZCZEGÓŁOWE KRYTERIA WYBORU PROJEKTU</w:t>
            </w:r>
          </w:p>
        </w:tc>
      </w:tr>
      <w:tr w:rsidR="007C0CDE" w:rsidRPr="001D3766" w:rsidTr="005435A0">
        <w:trPr>
          <w:trHeight w:val="567"/>
        </w:trPr>
        <w:tc>
          <w:tcPr>
            <w:tcW w:w="9659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lastRenderedPageBreak/>
              <w:t>KRYTERIA DOSTĘPU</w:t>
            </w:r>
          </w:p>
        </w:tc>
      </w:tr>
      <w:tr w:rsidR="007C0CDE" w:rsidRPr="001D3766" w:rsidTr="005435A0">
        <w:trPr>
          <w:trHeight w:val="412"/>
        </w:trPr>
        <w:tc>
          <w:tcPr>
            <w:tcW w:w="9659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n/d</w:t>
            </w:r>
          </w:p>
        </w:tc>
      </w:tr>
      <w:tr w:rsidR="007C0CDE" w:rsidRPr="001D3766" w:rsidTr="005435A0">
        <w:trPr>
          <w:trHeight w:val="567"/>
        </w:trPr>
        <w:tc>
          <w:tcPr>
            <w:tcW w:w="198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  <w:r w:rsidRPr="001D3766">
              <w:rPr>
                <w:rFonts w:ascii="Arial" w:hAnsi="Arial" w:cs="Arial"/>
                <w:b/>
                <w:sz w:val="24"/>
                <w:szCs w:val="24"/>
              </w:rPr>
              <w:t>Uzasadnienie:</w:t>
            </w:r>
          </w:p>
        </w:tc>
        <w:tc>
          <w:tcPr>
            <w:tcW w:w="7676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7C0CDE" w:rsidRPr="001D3766" w:rsidRDefault="007C0CDE" w:rsidP="005435A0">
            <w:pPr>
              <w:spacing w:before="120" w:after="120" w:line="360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C0CDE" w:rsidRPr="00BF68CD" w:rsidRDefault="007C0CDE" w:rsidP="007C0CDE">
      <w:pPr>
        <w:spacing w:before="120" w:after="0" w:line="240" w:lineRule="auto"/>
        <w:rPr>
          <w:rFonts w:ascii="Lato Light" w:hAnsi="Lato Light" w:cstheme="minorHAnsi"/>
          <w:sz w:val="20"/>
          <w:szCs w:val="20"/>
        </w:rPr>
      </w:pPr>
    </w:p>
    <w:tbl>
      <w:tblPr>
        <w:tblW w:w="9640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985"/>
        <w:gridCol w:w="1560"/>
        <w:gridCol w:w="1842"/>
        <w:gridCol w:w="4253"/>
      </w:tblGrid>
      <w:tr w:rsidR="0030023B" w:rsidRPr="0030023B" w:rsidTr="0030023B">
        <w:trPr>
          <w:trHeight w:val="362"/>
        </w:trPr>
        <w:tc>
          <w:tcPr>
            <w:tcW w:w="9640" w:type="dxa"/>
            <w:gridSpan w:val="4"/>
            <w:shd w:val="clear" w:color="auto" w:fill="D9D9D9"/>
            <w:vAlign w:val="center"/>
          </w:tcPr>
          <w:p w:rsidR="0030023B" w:rsidRPr="0030023B" w:rsidRDefault="0030023B" w:rsidP="0030023B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023B">
              <w:rPr>
                <w:rFonts w:ascii="Arial" w:hAnsi="Arial" w:cs="Arial"/>
                <w:b/>
                <w:sz w:val="24"/>
                <w:szCs w:val="24"/>
              </w:rPr>
              <w:t>PODPIS OSOBY UPOWAŻNIONEJ DO PODEJMOWANIA DECYZJI W ZAKRESIE PLANU DZIAŁANIA</w:t>
            </w:r>
          </w:p>
        </w:tc>
      </w:tr>
      <w:tr w:rsidR="003240C1" w:rsidRPr="0030023B" w:rsidTr="003240C1">
        <w:trPr>
          <w:trHeight w:val="1116"/>
        </w:trPr>
        <w:tc>
          <w:tcPr>
            <w:tcW w:w="1985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30023B" w:rsidRPr="0030023B" w:rsidRDefault="0030023B" w:rsidP="0030023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0023B">
              <w:rPr>
                <w:rFonts w:ascii="Arial" w:hAnsi="Arial" w:cs="Arial"/>
                <w:sz w:val="24"/>
                <w:szCs w:val="24"/>
              </w:rPr>
              <w:t>Miejscowość, data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30023B" w:rsidRPr="0030023B" w:rsidRDefault="003240C1" w:rsidP="0030023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Warszawa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30023B" w:rsidRPr="0030023B" w:rsidRDefault="0030023B" w:rsidP="0030023B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023B">
              <w:rPr>
                <w:rFonts w:ascii="Arial" w:hAnsi="Arial" w:cs="Arial"/>
                <w:sz w:val="24"/>
                <w:szCs w:val="24"/>
              </w:rPr>
              <w:t>Pieczęć i podpis osoby upoważnionej</w:t>
            </w:r>
          </w:p>
        </w:tc>
        <w:tc>
          <w:tcPr>
            <w:tcW w:w="4253" w:type="dxa"/>
            <w:tcBorders>
              <w:bottom w:val="single" w:sz="12" w:space="0" w:color="auto"/>
            </w:tcBorders>
            <w:vAlign w:val="center"/>
          </w:tcPr>
          <w:p w:rsidR="003240C1" w:rsidRPr="003240C1" w:rsidRDefault="003240C1" w:rsidP="003240C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0C1">
              <w:rPr>
                <w:rFonts w:ascii="Arial" w:hAnsi="Arial" w:cs="Arial"/>
                <w:sz w:val="24"/>
                <w:szCs w:val="24"/>
              </w:rPr>
              <w:t xml:space="preserve">Narodowe Centrum Badań i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3240C1">
              <w:rPr>
                <w:rFonts w:ascii="Arial" w:hAnsi="Arial" w:cs="Arial"/>
                <w:sz w:val="24"/>
                <w:szCs w:val="24"/>
              </w:rPr>
              <w:t>ozwoju</w:t>
            </w:r>
          </w:p>
          <w:p w:rsidR="003240C1" w:rsidRPr="003240C1" w:rsidRDefault="003240C1" w:rsidP="003240C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0C1">
              <w:rPr>
                <w:rFonts w:ascii="Arial" w:hAnsi="Arial" w:cs="Arial"/>
                <w:sz w:val="24"/>
                <w:szCs w:val="24"/>
              </w:rPr>
              <w:t>Dyrektor</w:t>
            </w:r>
          </w:p>
          <w:p w:rsidR="003240C1" w:rsidRPr="003240C1" w:rsidRDefault="003240C1" w:rsidP="003240C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0C1">
              <w:rPr>
                <w:rFonts w:ascii="Arial" w:hAnsi="Arial" w:cs="Arial"/>
                <w:sz w:val="24"/>
                <w:szCs w:val="24"/>
              </w:rPr>
              <w:t>dr inż. Wojciech Kamieniecki</w:t>
            </w:r>
          </w:p>
          <w:p w:rsidR="0030023B" w:rsidRPr="003240C1" w:rsidRDefault="003240C1" w:rsidP="003240C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0C1">
              <w:rPr>
                <w:rFonts w:ascii="Arial" w:hAnsi="Arial" w:cs="Arial"/>
                <w:sz w:val="24"/>
                <w:szCs w:val="24"/>
              </w:rPr>
              <w:t>/podpisano elektronicznie/</w:t>
            </w:r>
          </w:p>
        </w:tc>
      </w:tr>
      <w:tr w:rsidR="0030023B" w:rsidRPr="0030023B" w:rsidTr="0030023B">
        <w:trPr>
          <w:trHeight w:val="362"/>
        </w:trPr>
        <w:tc>
          <w:tcPr>
            <w:tcW w:w="964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0023B" w:rsidRPr="0030023B" w:rsidRDefault="0030023B" w:rsidP="0030023B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30023B">
              <w:rPr>
                <w:rFonts w:ascii="Arial" w:hAnsi="Arial" w:cs="Arial"/>
                <w:b/>
                <w:sz w:val="24"/>
                <w:szCs w:val="24"/>
              </w:rPr>
              <w:t xml:space="preserve">DATA ZATWIERDZENIA PLANU DZIAŁANIA I IDENTYFIKACJI PROJEKTÓW POZAKONKURSOWYCH, KTÓRYCH FISZKI PO RAZ PIERWSZY ZAWARTO W PLANIE DZIAŁANIA, W ROZUMIENIU ART. 48 UST. 3 USTAWY Z DNIA 11 LIPCA 2014 R. </w:t>
            </w:r>
            <w:r w:rsidRPr="0030023B">
              <w:rPr>
                <w:rFonts w:ascii="Arial" w:hAnsi="Arial" w:cs="Arial"/>
                <w:b/>
                <w:i/>
                <w:sz w:val="24"/>
                <w:szCs w:val="24"/>
              </w:rPr>
              <w:t>O ZASADACH REALIZACJI PROGRAMÓW W ZAKRESIE POLITYKI SPÓJNOŚCI W PERSPEKTYWIE FINANSOWEJ 2014-2020</w:t>
            </w:r>
            <w:r w:rsidRPr="0030023B">
              <w:rPr>
                <w:rFonts w:ascii="Arial" w:hAnsi="Arial" w:cs="Arial"/>
                <w:b/>
                <w:sz w:val="24"/>
                <w:szCs w:val="24"/>
              </w:rPr>
              <w:t xml:space="preserve"> (DZ.U. Z 2018 R. POZ. 1431, z </w:t>
            </w:r>
            <w:proofErr w:type="spellStart"/>
            <w:r w:rsidRPr="0030023B">
              <w:rPr>
                <w:rFonts w:ascii="Arial" w:hAnsi="Arial" w:cs="Arial"/>
                <w:b/>
                <w:sz w:val="24"/>
                <w:szCs w:val="24"/>
              </w:rPr>
              <w:t>późn</w:t>
            </w:r>
            <w:proofErr w:type="spellEnd"/>
            <w:r w:rsidRPr="0030023B">
              <w:rPr>
                <w:rFonts w:ascii="Arial" w:hAnsi="Arial" w:cs="Arial"/>
                <w:b/>
                <w:sz w:val="24"/>
                <w:szCs w:val="24"/>
              </w:rPr>
              <w:t>. zm.)</w:t>
            </w:r>
            <w:r w:rsidRPr="0030023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0023B" w:rsidRPr="0030023B" w:rsidRDefault="0030023B" w:rsidP="0030023B">
            <w:pPr>
              <w:spacing w:before="60" w:after="60"/>
              <w:rPr>
                <w:rFonts w:ascii="Arial" w:hAnsi="Arial" w:cs="Arial"/>
                <w:i/>
                <w:sz w:val="24"/>
                <w:szCs w:val="24"/>
              </w:rPr>
            </w:pPr>
            <w:r w:rsidRPr="0030023B">
              <w:rPr>
                <w:rFonts w:ascii="Arial" w:hAnsi="Arial" w:cs="Arial"/>
                <w:i/>
                <w:sz w:val="24"/>
                <w:szCs w:val="24"/>
              </w:rPr>
              <w:t xml:space="preserve">(wypełnia Instytucja Zarządzająca POWER, wprowadzając Roczny Plan Działania jako załącznik do Szczegółowego Opisu Osi Priorytetowych POWER) </w:t>
            </w:r>
          </w:p>
        </w:tc>
      </w:tr>
      <w:tr w:rsidR="0030023B" w:rsidRPr="0030023B" w:rsidTr="0030023B">
        <w:trPr>
          <w:trHeight w:val="978"/>
        </w:trPr>
        <w:tc>
          <w:tcPr>
            <w:tcW w:w="9640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30023B" w:rsidRPr="0030023B" w:rsidRDefault="002E7ACF" w:rsidP="00BC63F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14.10.</w:t>
            </w:r>
            <w:bookmarkStart w:id="2" w:name="_GoBack"/>
            <w:bookmarkEnd w:id="2"/>
            <w:r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</w:tbl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bookmarkStart w:id="3" w:name="ezdPracownikAtrybut1"/>
      <w:bookmarkEnd w:id="3"/>
      <w:r w:rsidRPr="00F75263">
        <w:rPr>
          <w:rFonts w:ascii="Arial" w:hAnsi="Arial" w:cs="Arial"/>
          <w:sz w:val="24"/>
          <w:szCs w:val="24"/>
        </w:rPr>
        <w:t xml:space="preserve"> </w:t>
      </w:r>
      <w:bookmarkStart w:id="4" w:name="ezdPracownikNazwa"/>
      <w:bookmarkEnd w:id="4"/>
    </w:p>
    <w:p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bookmarkStart w:id="5" w:name="ezdPracownikAtrybut2"/>
      <w:bookmarkEnd w:id="5"/>
      <w:r w:rsidRPr="00F75263">
        <w:rPr>
          <w:rFonts w:ascii="Arial" w:hAnsi="Arial" w:cs="Arial"/>
          <w:sz w:val="24"/>
          <w:szCs w:val="24"/>
        </w:rPr>
        <w:t xml:space="preserve"> </w:t>
      </w:r>
      <w:bookmarkStart w:id="6" w:name="ezdDataPodpisu_2"/>
      <w:bookmarkEnd w:id="6"/>
    </w:p>
    <w:sectPr w:rsidR="000E189A" w:rsidRPr="00F75263" w:rsidSect="00FF48D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C2A" w:rsidRDefault="00573C2A" w:rsidP="003D5936">
      <w:pPr>
        <w:spacing w:after="0" w:line="240" w:lineRule="auto"/>
      </w:pPr>
      <w:r>
        <w:separator/>
      </w:r>
    </w:p>
  </w:endnote>
  <w:endnote w:type="continuationSeparator" w:id="0">
    <w:p w:rsidR="00573C2A" w:rsidRDefault="00573C2A" w:rsidP="003D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ato Light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2CE" w:rsidRPr="0058301A" w:rsidRDefault="0058301A" w:rsidP="0058301A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2E7ACF">
      <w:rPr>
        <w:rFonts w:ascii="Arial" w:hAnsi="Arial" w:cs="Arial"/>
        <w:b/>
        <w:bCs/>
        <w:noProof/>
      </w:rPr>
      <w:t>17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2E7ACF">
      <w:rPr>
        <w:rFonts w:ascii="Arial" w:hAnsi="Arial" w:cs="Arial"/>
        <w:b/>
        <w:bCs/>
        <w:noProof/>
      </w:rPr>
      <w:t>17</w:t>
    </w:r>
    <w:r w:rsidRPr="00D67239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888" w:rsidRPr="00D67239" w:rsidRDefault="00257888" w:rsidP="00D67239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2E7ACF">
      <w:rPr>
        <w:rFonts w:ascii="Arial" w:hAnsi="Arial" w:cs="Arial"/>
        <w:b/>
        <w:bCs/>
        <w:noProof/>
      </w:rPr>
      <w:t>1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2E7ACF">
      <w:rPr>
        <w:rFonts w:ascii="Arial" w:hAnsi="Arial" w:cs="Arial"/>
        <w:b/>
        <w:bCs/>
        <w:noProof/>
      </w:rPr>
      <w:t>17</w:t>
    </w:r>
    <w:r w:rsidRPr="00D67239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C2A" w:rsidRDefault="00573C2A" w:rsidP="003D5936">
      <w:pPr>
        <w:spacing w:after="0" w:line="240" w:lineRule="auto"/>
      </w:pPr>
      <w:r>
        <w:separator/>
      </w:r>
    </w:p>
  </w:footnote>
  <w:footnote w:type="continuationSeparator" w:id="0">
    <w:p w:rsidR="00573C2A" w:rsidRDefault="00573C2A" w:rsidP="003D5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01A" w:rsidRPr="0058301A" w:rsidRDefault="0058301A" w:rsidP="0058301A">
    <w:pPr>
      <w:pStyle w:val="Nagwek"/>
      <w:spacing w:before="120" w:after="120" w:line="240" w:lineRule="atLeas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DE" w:rsidRPr="00D67239" w:rsidRDefault="001401A5" w:rsidP="00D67239">
    <w:pPr>
      <w:pStyle w:val="Nagwek"/>
      <w:spacing w:before="120" w:after="120" w:line="240" w:lineRule="atLeast"/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inline distT="0" distB="0" distL="0" distR="0">
          <wp:extent cx="5753100" cy="571500"/>
          <wp:effectExtent l="0" t="0" r="0" b="0"/>
          <wp:docPr id="12" name="Obraz 12" descr="Zestawienie logotypów: Fundusze Europejskiekie Wiedza Edukacja Rozwój, Rzeczpospolita Polska, Ministerstwo Funduszy i Polityki Regionalnej, Unia Europejska Europejski Fundusz Społeczny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Y:\PO WER\Promocja\Logotypy\FE_RP_MFiPR_UE_poziom_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42FCC"/>
    <w:multiLevelType w:val="hybridMultilevel"/>
    <w:tmpl w:val="75083EFE"/>
    <w:lvl w:ilvl="0" w:tplc="DD26A7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510E6B"/>
    <w:multiLevelType w:val="hybridMultilevel"/>
    <w:tmpl w:val="A22606C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A8D6E79"/>
    <w:multiLevelType w:val="multilevel"/>
    <w:tmpl w:val="0415001F"/>
    <w:numStyleLink w:val="Stylmagda"/>
  </w:abstractNum>
  <w:abstractNum w:abstractNumId="3">
    <w:nsid w:val="0C2812CA"/>
    <w:multiLevelType w:val="multilevel"/>
    <w:tmpl w:val="0415001F"/>
    <w:styleLink w:val="Stylmagd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611302"/>
    <w:multiLevelType w:val="hybridMultilevel"/>
    <w:tmpl w:val="158E3CDA"/>
    <w:lvl w:ilvl="0" w:tplc="090C62C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716B6"/>
    <w:multiLevelType w:val="hybridMultilevel"/>
    <w:tmpl w:val="D48223D8"/>
    <w:lvl w:ilvl="0" w:tplc="5BE4A5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3324FC"/>
    <w:multiLevelType w:val="hybridMultilevel"/>
    <w:tmpl w:val="FB6E5A5E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8A0C4A"/>
    <w:multiLevelType w:val="hybridMultilevel"/>
    <w:tmpl w:val="2DFEB04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84B8C"/>
    <w:multiLevelType w:val="multilevel"/>
    <w:tmpl w:val="0792E4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13031"/>
    <w:multiLevelType w:val="hybridMultilevel"/>
    <w:tmpl w:val="98406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232579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A6B86"/>
    <w:multiLevelType w:val="hybridMultilevel"/>
    <w:tmpl w:val="767A919C"/>
    <w:lvl w:ilvl="0" w:tplc="C2ACD4F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A20BF9"/>
    <w:multiLevelType w:val="hybridMultilevel"/>
    <w:tmpl w:val="A47A7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823A31"/>
    <w:multiLevelType w:val="hybridMultilevel"/>
    <w:tmpl w:val="835CFE8A"/>
    <w:lvl w:ilvl="0" w:tplc="87C641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890C53"/>
    <w:multiLevelType w:val="hybridMultilevel"/>
    <w:tmpl w:val="17DE1AD0"/>
    <w:lvl w:ilvl="0" w:tplc="04150017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2E3AB46E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87252DA"/>
    <w:multiLevelType w:val="multilevel"/>
    <w:tmpl w:val="815E95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5D5148B9"/>
    <w:multiLevelType w:val="hybridMultilevel"/>
    <w:tmpl w:val="0F7C885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FA7B7C"/>
    <w:multiLevelType w:val="hybridMultilevel"/>
    <w:tmpl w:val="6F5C9162"/>
    <w:lvl w:ilvl="0" w:tplc="2FC28D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EE9564B"/>
    <w:multiLevelType w:val="hybridMultilevel"/>
    <w:tmpl w:val="4754E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4101AF"/>
    <w:multiLevelType w:val="multilevel"/>
    <w:tmpl w:val="B3903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6B026AB9"/>
    <w:multiLevelType w:val="hybridMultilevel"/>
    <w:tmpl w:val="30DAA9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321292"/>
    <w:multiLevelType w:val="hybridMultilevel"/>
    <w:tmpl w:val="46187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362EA5"/>
    <w:multiLevelType w:val="hybridMultilevel"/>
    <w:tmpl w:val="37C00A2E"/>
    <w:lvl w:ilvl="0" w:tplc="DD26B048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F15E6B"/>
    <w:multiLevelType w:val="hybridMultilevel"/>
    <w:tmpl w:val="3F088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D04638"/>
    <w:multiLevelType w:val="multilevel"/>
    <w:tmpl w:val="2C54E5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27">
    <w:nsid w:val="74540E8F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51110F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16"/>
  </w:num>
  <w:num w:numId="4">
    <w:abstractNumId w:val="14"/>
  </w:num>
  <w:num w:numId="5">
    <w:abstractNumId w:val="15"/>
  </w:num>
  <w:num w:numId="6">
    <w:abstractNumId w:val="9"/>
  </w:num>
  <w:num w:numId="7">
    <w:abstractNumId w:val="6"/>
  </w:num>
  <w:num w:numId="8">
    <w:abstractNumId w:val="24"/>
  </w:num>
  <w:num w:numId="9">
    <w:abstractNumId w:val="7"/>
  </w:num>
  <w:num w:numId="10">
    <w:abstractNumId w:val="13"/>
  </w:num>
  <w:num w:numId="11">
    <w:abstractNumId w:val="21"/>
  </w:num>
  <w:num w:numId="12">
    <w:abstractNumId w:val="19"/>
  </w:num>
  <w:num w:numId="13">
    <w:abstractNumId w:val="1"/>
  </w:num>
  <w:num w:numId="14">
    <w:abstractNumId w:val="28"/>
  </w:num>
  <w:num w:numId="15">
    <w:abstractNumId w:val="27"/>
  </w:num>
  <w:num w:numId="16">
    <w:abstractNumId w:val="11"/>
  </w:num>
  <w:num w:numId="17">
    <w:abstractNumId w:val="20"/>
  </w:num>
  <w:num w:numId="18">
    <w:abstractNumId w:val="10"/>
  </w:num>
  <w:num w:numId="19">
    <w:abstractNumId w:val="8"/>
  </w:num>
  <w:num w:numId="20">
    <w:abstractNumId w:val="25"/>
  </w:num>
  <w:num w:numId="21">
    <w:abstractNumId w:val="18"/>
  </w:num>
  <w:num w:numId="22">
    <w:abstractNumId w:val="22"/>
  </w:num>
  <w:num w:numId="23">
    <w:abstractNumId w:val="2"/>
  </w:num>
  <w:num w:numId="24">
    <w:abstractNumId w:val="3"/>
  </w:num>
  <w:num w:numId="25">
    <w:abstractNumId w:val="17"/>
  </w:num>
  <w:num w:numId="26">
    <w:abstractNumId w:val="26"/>
  </w:num>
  <w:num w:numId="27">
    <w:abstractNumId w:val="12"/>
  </w:num>
  <w:num w:numId="28">
    <w:abstractNumId w:val="5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58A"/>
    <w:rsid w:val="0000117E"/>
    <w:rsid w:val="000012CE"/>
    <w:rsid w:val="00003ACA"/>
    <w:rsid w:val="00007C80"/>
    <w:rsid w:val="00013990"/>
    <w:rsid w:val="00015DB0"/>
    <w:rsid w:val="00030B5B"/>
    <w:rsid w:val="00037B81"/>
    <w:rsid w:val="000412E4"/>
    <w:rsid w:val="0004478C"/>
    <w:rsid w:val="000448C2"/>
    <w:rsid w:val="00050A79"/>
    <w:rsid w:val="00055B68"/>
    <w:rsid w:val="000631D1"/>
    <w:rsid w:val="0006320D"/>
    <w:rsid w:val="000640EA"/>
    <w:rsid w:val="00072776"/>
    <w:rsid w:val="00072D66"/>
    <w:rsid w:val="00080A68"/>
    <w:rsid w:val="00081A04"/>
    <w:rsid w:val="00086B53"/>
    <w:rsid w:val="00093F6A"/>
    <w:rsid w:val="000A29A9"/>
    <w:rsid w:val="000A2FA8"/>
    <w:rsid w:val="000A3D94"/>
    <w:rsid w:val="000A4A6D"/>
    <w:rsid w:val="000C560E"/>
    <w:rsid w:val="000D0F64"/>
    <w:rsid w:val="000E189A"/>
    <w:rsid w:val="000E288B"/>
    <w:rsid w:val="000E58A5"/>
    <w:rsid w:val="000F1E91"/>
    <w:rsid w:val="000F7ED2"/>
    <w:rsid w:val="001003E6"/>
    <w:rsid w:val="00100AEB"/>
    <w:rsid w:val="0010656E"/>
    <w:rsid w:val="00110984"/>
    <w:rsid w:val="001112AB"/>
    <w:rsid w:val="00112B98"/>
    <w:rsid w:val="001179F1"/>
    <w:rsid w:val="001207BE"/>
    <w:rsid w:val="001208EA"/>
    <w:rsid w:val="00123D1E"/>
    <w:rsid w:val="001401A5"/>
    <w:rsid w:val="00142F9C"/>
    <w:rsid w:val="0015136F"/>
    <w:rsid w:val="00161207"/>
    <w:rsid w:val="0016199A"/>
    <w:rsid w:val="0016495F"/>
    <w:rsid w:val="00170999"/>
    <w:rsid w:val="00177B42"/>
    <w:rsid w:val="001821BC"/>
    <w:rsid w:val="00184282"/>
    <w:rsid w:val="00186A00"/>
    <w:rsid w:val="00187651"/>
    <w:rsid w:val="00192141"/>
    <w:rsid w:val="0019293B"/>
    <w:rsid w:val="00193E3D"/>
    <w:rsid w:val="001975AB"/>
    <w:rsid w:val="001A671B"/>
    <w:rsid w:val="001B2286"/>
    <w:rsid w:val="001B3A78"/>
    <w:rsid w:val="001B415A"/>
    <w:rsid w:val="001C3FF6"/>
    <w:rsid w:val="001D2A36"/>
    <w:rsid w:val="001D4A4D"/>
    <w:rsid w:val="001D57BE"/>
    <w:rsid w:val="001F10B7"/>
    <w:rsid w:val="001F331F"/>
    <w:rsid w:val="001F5F00"/>
    <w:rsid w:val="001F63AD"/>
    <w:rsid w:val="00201488"/>
    <w:rsid w:val="00217DDF"/>
    <w:rsid w:val="002218D7"/>
    <w:rsid w:val="0022312F"/>
    <w:rsid w:val="002278FA"/>
    <w:rsid w:val="00227E1F"/>
    <w:rsid w:val="002407CF"/>
    <w:rsid w:val="00242778"/>
    <w:rsid w:val="002456EE"/>
    <w:rsid w:val="002474D4"/>
    <w:rsid w:val="00251DF9"/>
    <w:rsid w:val="00257050"/>
    <w:rsid w:val="00257888"/>
    <w:rsid w:val="002625E1"/>
    <w:rsid w:val="002752D2"/>
    <w:rsid w:val="0028171D"/>
    <w:rsid w:val="00290347"/>
    <w:rsid w:val="002961EA"/>
    <w:rsid w:val="0029647F"/>
    <w:rsid w:val="002A33DD"/>
    <w:rsid w:val="002A4B8F"/>
    <w:rsid w:val="002A4D9A"/>
    <w:rsid w:val="002B32FA"/>
    <w:rsid w:val="002B3A81"/>
    <w:rsid w:val="002E13A4"/>
    <w:rsid w:val="002E56F7"/>
    <w:rsid w:val="002E7A2D"/>
    <w:rsid w:val="002E7ACF"/>
    <w:rsid w:val="002F09CE"/>
    <w:rsid w:val="002F4A76"/>
    <w:rsid w:val="002F50C5"/>
    <w:rsid w:val="0030023B"/>
    <w:rsid w:val="00315A9A"/>
    <w:rsid w:val="00320B2D"/>
    <w:rsid w:val="003240C1"/>
    <w:rsid w:val="003312F7"/>
    <w:rsid w:val="0033332E"/>
    <w:rsid w:val="003346F7"/>
    <w:rsid w:val="003436FC"/>
    <w:rsid w:val="0034683B"/>
    <w:rsid w:val="00347B70"/>
    <w:rsid w:val="003530E2"/>
    <w:rsid w:val="003561E4"/>
    <w:rsid w:val="00364992"/>
    <w:rsid w:val="003937F3"/>
    <w:rsid w:val="00393AB7"/>
    <w:rsid w:val="00395D40"/>
    <w:rsid w:val="00397601"/>
    <w:rsid w:val="003A79DF"/>
    <w:rsid w:val="003B1413"/>
    <w:rsid w:val="003B4D91"/>
    <w:rsid w:val="003C3EAA"/>
    <w:rsid w:val="003D15EC"/>
    <w:rsid w:val="003D5375"/>
    <w:rsid w:val="003D5936"/>
    <w:rsid w:val="003D5F7A"/>
    <w:rsid w:val="003D7726"/>
    <w:rsid w:val="003E105B"/>
    <w:rsid w:val="003E7D9C"/>
    <w:rsid w:val="003F05D9"/>
    <w:rsid w:val="00402A95"/>
    <w:rsid w:val="004039AD"/>
    <w:rsid w:val="00404712"/>
    <w:rsid w:val="00404FBC"/>
    <w:rsid w:val="004076A1"/>
    <w:rsid w:val="00413F87"/>
    <w:rsid w:val="00431392"/>
    <w:rsid w:val="004317C0"/>
    <w:rsid w:val="00432F13"/>
    <w:rsid w:val="00440EB0"/>
    <w:rsid w:val="00442F50"/>
    <w:rsid w:val="00450110"/>
    <w:rsid w:val="00455218"/>
    <w:rsid w:val="00460AAF"/>
    <w:rsid w:val="004643B7"/>
    <w:rsid w:val="00470544"/>
    <w:rsid w:val="00474538"/>
    <w:rsid w:val="00475B95"/>
    <w:rsid w:val="004814E8"/>
    <w:rsid w:val="004A3BA4"/>
    <w:rsid w:val="004A3CC7"/>
    <w:rsid w:val="004A4466"/>
    <w:rsid w:val="004A605F"/>
    <w:rsid w:val="004C1A56"/>
    <w:rsid w:val="004C2A1C"/>
    <w:rsid w:val="004C49C9"/>
    <w:rsid w:val="004C5CFA"/>
    <w:rsid w:val="004D3EAE"/>
    <w:rsid w:val="004D7ADD"/>
    <w:rsid w:val="004E31B2"/>
    <w:rsid w:val="004F24C1"/>
    <w:rsid w:val="004F361A"/>
    <w:rsid w:val="004F3787"/>
    <w:rsid w:val="004F78AA"/>
    <w:rsid w:val="00506DA0"/>
    <w:rsid w:val="00510D4D"/>
    <w:rsid w:val="0051421C"/>
    <w:rsid w:val="00515084"/>
    <w:rsid w:val="00522637"/>
    <w:rsid w:val="0052582C"/>
    <w:rsid w:val="005260FA"/>
    <w:rsid w:val="005334D9"/>
    <w:rsid w:val="005434BC"/>
    <w:rsid w:val="00547A7F"/>
    <w:rsid w:val="00547B09"/>
    <w:rsid w:val="00561319"/>
    <w:rsid w:val="00561DA3"/>
    <w:rsid w:val="00562453"/>
    <w:rsid w:val="0056414A"/>
    <w:rsid w:val="00566225"/>
    <w:rsid w:val="00570AD8"/>
    <w:rsid w:val="00573C2A"/>
    <w:rsid w:val="00574EEB"/>
    <w:rsid w:val="0058301A"/>
    <w:rsid w:val="005867B6"/>
    <w:rsid w:val="00593FCF"/>
    <w:rsid w:val="00594384"/>
    <w:rsid w:val="0059477F"/>
    <w:rsid w:val="00596732"/>
    <w:rsid w:val="005A76C5"/>
    <w:rsid w:val="005B02C3"/>
    <w:rsid w:val="005B086C"/>
    <w:rsid w:val="005B3CC4"/>
    <w:rsid w:val="005C4A57"/>
    <w:rsid w:val="005D2FFC"/>
    <w:rsid w:val="005D7CB4"/>
    <w:rsid w:val="005E4D0B"/>
    <w:rsid w:val="005E5B1F"/>
    <w:rsid w:val="005F054A"/>
    <w:rsid w:val="005F285E"/>
    <w:rsid w:val="005F3244"/>
    <w:rsid w:val="005F62F5"/>
    <w:rsid w:val="00605D0C"/>
    <w:rsid w:val="006206FF"/>
    <w:rsid w:val="00623F65"/>
    <w:rsid w:val="00624403"/>
    <w:rsid w:val="00630392"/>
    <w:rsid w:val="006510EF"/>
    <w:rsid w:val="00661ACC"/>
    <w:rsid w:val="00662A32"/>
    <w:rsid w:val="00664C7A"/>
    <w:rsid w:val="00666C6B"/>
    <w:rsid w:val="00670E5B"/>
    <w:rsid w:val="006735FE"/>
    <w:rsid w:val="006960EF"/>
    <w:rsid w:val="00697BA2"/>
    <w:rsid w:val="006A057D"/>
    <w:rsid w:val="006A33B5"/>
    <w:rsid w:val="006A3C7B"/>
    <w:rsid w:val="006A6F96"/>
    <w:rsid w:val="006C2329"/>
    <w:rsid w:val="006C4F84"/>
    <w:rsid w:val="006D4570"/>
    <w:rsid w:val="006E53E8"/>
    <w:rsid w:val="006F5109"/>
    <w:rsid w:val="006F7CB9"/>
    <w:rsid w:val="007023D0"/>
    <w:rsid w:val="007220E8"/>
    <w:rsid w:val="00727027"/>
    <w:rsid w:val="0072710B"/>
    <w:rsid w:val="00730371"/>
    <w:rsid w:val="007308D4"/>
    <w:rsid w:val="00733B9D"/>
    <w:rsid w:val="00735EFE"/>
    <w:rsid w:val="00741959"/>
    <w:rsid w:val="00742EF5"/>
    <w:rsid w:val="007450D2"/>
    <w:rsid w:val="007529F8"/>
    <w:rsid w:val="0075471A"/>
    <w:rsid w:val="00761577"/>
    <w:rsid w:val="00764E23"/>
    <w:rsid w:val="0077091A"/>
    <w:rsid w:val="00770DB7"/>
    <w:rsid w:val="00773A80"/>
    <w:rsid w:val="00773EE9"/>
    <w:rsid w:val="0077421C"/>
    <w:rsid w:val="00780D7D"/>
    <w:rsid w:val="007820D8"/>
    <w:rsid w:val="00787BEF"/>
    <w:rsid w:val="007A57B5"/>
    <w:rsid w:val="007B1ADC"/>
    <w:rsid w:val="007B1CE4"/>
    <w:rsid w:val="007B4B03"/>
    <w:rsid w:val="007C0CDE"/>
    <w:rsid w:val="007D0FE5"/>
    <w:rsid w:val="007D50C2"/>
    <w:rsid w:val="007E0B2F"/>
    <w:rsid w:val="007E17E5"/>
    <w:rsid w:val="007E62D8"/>
    <w:rsid w:val="007E6FE2"/>
    <w:rsid w:val="007F2405"/>
    <w:rsid w:val="007F6B31"/>
    <w:rsid w:val="0080385A"/>
    <w:rsid w:val="008135E6"/>
    <w:rsid w:val="008233E2"/>
    <w:rsid w:val="00824D65"/>
    <w:rsid w:val="00830F13"/>
    <w:rsid w:val="008321BB"/>
    <w:rsid w:val="00835267"/>
    <w:rsid w:val="0083636D"/>
    <w:rsid w:val="008373BB"/>
    <w:rsid w:val="008436BE"/>
    <w:rsid w:val="00852924"/>
    <w:rsid w:val="00870F95"/>
    <w:rsid w:val="00872E8B"/>
    <w:rsid w:val="00873219"/>
    <w:rsid w:val="00874C28"/>
    <w:rsid w:val="008772FF"/>
    <w:rsid w:val="00894F39"/>
    <w:rsid w:val="008A5E1B"/>
    <w:rsid w:val="008B3487"/>
    <w:rsid w:val="008B760D"/>
    <w:rsid w:val="008C1C06"/>
    <w:rsid w:val="008D37E7"/>
    <w:rsid w:val="008D7AF5"/>
    <w:rsid w:val="008E3F14"/>
    <w:rsid w:val="008E5C15"/>
    <w:rsid w:val="008E6900"/>
    <w:rsid w:val="00906F7E"/>
    <w:rsid w:val="00910C78"/>
    <w:rsid w:val="0091150A"/>
    <w:rsid w:val="00916DF6"/>
    <w:rsid w:val="00930ED1"/>
    <w:rsid w:val="0093259B"/>
    <w:rsid w:val="00934595"/>
    <w:rsid w:val="00941C0C"/>
    <w:rsid w:val="00944FA7"/>
    <w:rsid w:val="009472A5"/>
    <w:rsid w:val="0095152A"/>
    <w:rsid w:val="00956667"/>
    <w:rsid w:val="00956B94"/>
    <w:rsid w:val="00957067"/>
    <w:rsid w:val="00957DBF"/>
    <w:rsid w:val="00966CC9"/>
    <w:rsid w:val="00976CE2"/>
    <w:rsid w:val="009837F6"/>
    <w:rsid w:val="009A31C6"/>
    <w:rsid w:val="009A352C"/>
    <w:rsid w:val="009C44A3"/>
    <w:rsid w:val="009E69DB"/>
    <w:rsid w:val="009E6D90"/>
    <w:rsid w:val="00A07047"/>
    <w:rsid w:val="00A24AF0"/>
    <w:rsid w:val="00A367AE"/>
    <w:rsid w:val="00A540EA"/>
    <w:rsid w:val="00A55A09"/>
    <w:rsid w:val="00A560AB"/>
    <w:rsid w:val="00A63D57"/>
    <w:rsid w:val="00A65EA1"/>
    <w:rsid w:val="00A708B7"/>
    <w:rsid w:val="00A744E4"/>
    <w:rsid w:val="00A76FDE"/>
    <w:rsid w:val="00A9201E"/>
    <w:rsid w:val="00A93641"/>
    <w:rsid w:val="00AA08AC"/>
    <w:rsid w:val="00AC257C"/>
    <w:rsid w:val="00AC53D2"/>
    <w:rsid w:val="00AE6A4E"/>
    <w:rsid w:val="00B00DDD"/>
    <w:rsid w:val="00B05BA4"/>
    <w:rsid w:val="00B10BFC"/>
    <w:rsid w:val="00B145EB"/>
    <w:rsid w:val="00B154AE"/>
    <w:rsid w:val="00B20493"/>
    <w:rsid w:val="00B217A6"/>
    <w:rsid w:val="00B23EFA"/>
    <w:rsid w:val="00B3144A"/>
    <w:rsid w:val="00B31DDB"/>
    <w:rsid w:val="00B36E5B"/>
    <w:rsid w:val="00B40FD3"/>
    <w:rsid w:val="00B42200"/>
    <w:rsid w:val="00B473F6"/>
    <w:rsid w:val="00B633C2"/>
    <w:rsid w:val="00B63A1C"/>
    <w:rsid w:val="00B75AF8"/>
    <w:rsid w:val="00B84741"/>
    <w:rsid w:val="00B94116"/>
    <w:rsid w:val="00BA26B8"/>
    <w:rsid w:val="00BA4ED2"/>
    <w:rsid w:val="00BB25FA"/>
    <w:rsid w:val="00BC02D4"/>
    <w:rsid w:val="00BC237E"/>
    <w:rsid w:val="00BC489F"/>
    <w:rsid w:val="00BD3383"/>
    <w:rsid w:val="00BD3EFE"/>
    <w:rsid w:val="00BD7E3E"/>
    <w:rsid w:val="00BE0FA6"/>
    <w:rsid w:val="00BF074E"/>
    <w:rsid w:val="00BF6C4E"/>
    <w:rsid w:val="00BF7392"/>
    <w:rsid w:val="00C10410"/>
    <w:rsid w:val="00C15FDA"/>
    <w:rsid w:val="00C17587"/>
    <w:rsid w:val="00C2216A"/>
    <w:rsid w:val="00C34CE3"/>
    <w:rsid w:val="00C3567A"/>
    <w:rsid w:val="00C36ADA"/>
    <w:rsid w:val="00C5021B"/>
    <w:rsid w:val="00C519FB"/>
    <w:rsid w:val="00C563D9"/>
    <w:rsid w:val="00C600BE"/>
    <w:rsid w:val="00C6508D"/>
    <w:rsid w:val="00C6665B"/>
    <w:rsid w:val="00C70EE0"/>
    <w:rsid w:val="00C728A1"/>
    <w:rsid w:val="00C749DD"/>
    <w:rsid w:val="00CA22A2"/>
    <w:rsid w:val="00CA4B43"/>
    <w:rsid w:val="00CA6619"/>
    <w:rsid w:val="00CB2F6E"/>
    <w:rsid w:val="00CB3CB7"/>
    <w:rsid w:val="00CD2A69"/>
    <w:rsid w:val="00CD631F"/>
    <w:rsid w:val="00CE693A"/>
    <w:rsid w:val="00CE7623"/>
    <w:rsid w:val="00CF0825"/>
    <w:rsid w:val="00CF3056"/>
    <w:rsid w:val="00D03F78"/>
    <w:rsid w:val="00D05C74"/>
    <w:rsid w:val="00D15A4C"/>
    <w:rsid w:val="00D22AB2"/>
    <w:rsid w:val="00D27252"/>
    <w:rsid w:val="00D36409"/>
    <w:rsid w:val="00D43C01"/>
    <w:rsid w:val="00D46CB6"/>
    <w:rsid w:val="00D50FDD"/>
    <w:rsid w:val="00D56150"/>
    <w:rsid w:val="00D604F4"/>
    <w:rsid w:val="00D60774"/>
    <w:rsid w:val="00D63C89"/>
    <w:rsid w:val="00D67239"/>
    <w:rsid w:val="00D70610"/>
    <w:rsid w:val="00D87596"/>
    <w:rsid w:val="00D909B5"/>
    <w:rsid w:val="00D91C18"/>
    <w:rsid w:val="00D948F1"/>
    <w:rsid w:val="00D96155"/>
    <w:rsid w:val="00D97E08"/>
    <w:rsid w:val="00DA0A76"/>
    <w:rsid w:val="00DA1426"/>
    <w:rsid w:val="00DA2457"/>
    <w:rsid w:val="00DA43B3"/>
    <w:rsid w:val="00DB491F"/>
    <w:rsid w:val="00DC627B"/>
    <w:rsid w:val="00DD03AA"/>
    <w:rsid w:val="00DD4FB0"/>
    <w:rsid w:val="00DE0234"/>
    <w:rsid w:val="00DE031D"/>
    <w:rsid w:val="00DE2FFF"/>
    <w:rsid w:val="00DE419A"/>
    <w:rsid w:val="00DF06C6"/>
    <w:rsid w:val="00DF7E58"/>
    <w:rsid w:val="00E0011C"/>
    <w:rsid w:val="00E0101E"/>
    <w:rsid w:val="00E05ACB"/>
    <w:rsid w:val="00E07552"/>
    <w:rsid w:val="00E14CDD"/>
    <w:rsid w:val="00E34748"/>
    <w:rsid w:val="00E35650"/>
    <w:rsid w:val="00E35F92"/>
    <w:rsid w:val="00E378F9"/>
    <w:rsid w:val="00E4077F"/>
    <w:rsid w:val="00E45529"/>
    <w:rsid w:val="00E5227F"/>
    <w:rsid w:val="00E60E76"/>
    <w:rsid w:val="00E64182"/>
    <w:rsid w:val="00E64F12"/>
    <w:rsid w:val="00E70B63"/>
    <w:rsid w:val="00E72530"/>
    <w:rsid w:val="00E8044E"/>
    <w:rsid w:val="00E92463"/>
    <w:rsid w:val="00E94EB4"/>
    <w:rsid w:val="00E95C22"/>
    <w:rsid w:val="00E9669D"/>
    <w:rsid w:val="00EA5115"/>
    <w:rsid w:val="00EA61F6"/>
    <w:rsid w:val="00EB10B2"/>
    <w:rsid w:val="00EB7249"/>
    <w:rsid w:val="00EC5CFA"/>
    <w:rsid w:val="00EC665F"/>
    <w:rsid w:val="00EC6B65"/>
    <w:rsid w:val="00ED18B9"/>
    <w:rsid w:val="00ED618B"/>
    <w:rsid w:val="00EE14E4"/>
    <w:rsid w:val="00EE75FF"/>
    <w:rsid w:val="00EE7862"/>
    <w:rsid w:val="00EF12B4"/>
    <w:rsid w:val="00F16A63"/>
    <w:rsid w:val="00F20081"/>
    <w:rsid w:val="00F2680A"/>
    <w:rsid w:val="00F33DAA"/>
    <w:rsid w:val="00F34AFA"/>
    <w:rsid w:val="00F424AC"/>
    <w:rsid w:val="00F44558"/>
    <w:rsid w:val="00F467E1"/>
    <w:rsid w:val="00F52C9A"/>
    <w:rsid w:val="00F61F77"/>
    <w:rsid w:val="00F720A0"/>
    <w:rsid w:val="00F75263"/>
    <w:rsid w:val="00F7558A"/>
    <w:rsid w:val="00F8164D"/>
    <w:rsid w:val="00F81C42"/>
    <w:rsid w:val="00F86943"/>
    <w:rsid w:val="00F938A3"/>
    <w:rsid w:val="00F93D0F"/>
    <w:rsid w:val="00F943F0"/>
    <w:rsid w:val="00F96C77"/>
    <w:rsid w:val="00FB0DE2"/>
    <w:rsid w:val="00FC52D6"/>
    <w:rsid w:val="00FC53E2"/>
    <w:rsid w:val="00FD2474"/>
    <w:rsid w:val="00FD29E0"/>
    <w:rsid w:val="00FD421D"/>
    <w:rsid w:val="00FD5F00"/>
    <w:rsid w:val="00FD7CA7"/>
    <w:rsid w:val="00FE001C"/>
    <w:rsid w:val="00FE7ADB"/>
    <w:rsid w:val="00FF48DE"/>
    <w:rsid w:val="00FF4BA4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5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037B81"/>
    <w:pPr>
      <w:spacing w:after="0" w:line="360" w:lineRule="auto"/>
      <w:ind w:left="720"/>
      <w:contextualSpacing/>
      <w:jc w:val="both"/>
    </w:pPr>
    <w:rPr>
      <w:rFonts w:ascii="Arial" w:eastAsia="Times New Roman" w:hAnsi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4B0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D593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5936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3D59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semiHidden/>
    <w:rsid w:val="003D5936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rsid w:val="003D59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10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9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1098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98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0984"/>
    <w:rPr>
      <w:b/>
      <w:bCs/>
      <w:lang w:eastAsia="en-US"/>
    </w:rPr>
  </w:style>
  <w:style w:type="character" w:styleId="Pogrubienie">
    <w:name w:val="Strong"/>
    <w:uiPriority w:val="22"/>
    <w:qFormat/>
    <w:rsid w:val="000E58A5"/>
    <w:rPr>
      <w:b/>
      <w:bCs/>
    </w:rPr>
  </w:style>
  <w:style w:type="paragraph" w:styleId="Poprawka">
    <w:name w:val="Revision"/>
    <w:hidden/>
    <w:uiPriority w:val="99"/>
    <w:semiHidden/>
    <w:rsid w:val="00E45529"/>
    <w:rPr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C0CDE"/>
    <w:rPr>
      <w:rFonts w:ascii="Arial" w:eastAsia="Times New Roman" w:hAnsi="Arial"/>
      <w:sz w:val="22"/>
      <w:szCs w:val="24"/>
    </w:rPr>
  </w:style>
  <w:style w:type="numbering" w:customStyle="1" w:styleId="Stylmagda">
    <w:name w:val="Styl_magda"/>
    <w:uiPriority w:val="99"/>
    <w:rsid w:val="007C0CDE"/>
    <w:pPr>
      <w:numPr>
        <w:numId w:val="2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5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037B81"/>
    <w:pPr>
      <w:spacing w:after="0" w:line="360" w:lineRule="auto"/>
      <w:ind w:left="720"/>
      <w:contextualSpacing/>
      <w:jc w:val="both"/>
    </w:pPr>
    <w:rPr>
      <w:rFonts w:ascii="Arial" w:eastAsia="Times New Roman" w:hAnsi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4B0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D593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5936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3D59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semiHidden/>
    <w:rsid w:val="003D5936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rsid w:val="003D59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10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9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1098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98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0984"/>
    <w:rPr>
      <w:b/>
      <w:bCs/>
      <w:lang w:eastAsia="en-US"/>
    </w:rPr>
  </w:style>
  <w:style w:type="character" w:styleId="Pogrubienie">
    <w:name w:val="Strong"/>
    <w:uiPriority w:val="22"/>
    <w:qFormat/>
    <w:rsid w:val="000E58A5"/>
    <w:rPr>
      <w:b/>
      <w:bCs/>
    </w:rPr>
  </w:style>
  <w:style w:type="paragraph" w:styleId="Poprawka">
    <w:name w:val="Revision"/>
    <w:hidden/>
    <w:uiPriority w:val="99"/>
    <w:semiHidden/>
    <w:rsid w:val="00E45529"/>
    <w:rPr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C0CDE"/>
    <w:rPr>
      <w:rFonts w:ascii="Arial" w:eastAsia="Times New Roman" w:hAnsi="Arial"/>
      <w:sz w:val="22"/>
      <w:szCs w:val="24"/>
    </w:rPr>
  </w:style>
  <w:style w:type="numbering" w:customStyle="1" w:styleId="Stylmagda">
    <w:name w:val="Styl_magda"/>
    <w:uiPriority w:val="99"/>
    <w:rsid w:val="007C0CDE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7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nna.marciniak@ncbr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ncbr.gov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1165A-3CB1-42F5-B5EF-D51786EEB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3908</Words>
  <Characters>23454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Galant</dc:creator>
  <cp:lastModifiedBy>Monika Wieladek-Pierscinska</cp:lastModifiedBy>
  <cp:revision>5</cp:revision>
  <cp:lastPrinted>2020-10-02T06:17:00Z</cp:lastPrinted>
  <dcterms:created xsi:type="dcterms:W3CDTF">2020-10-22T11:23:00Z</dcterms:created>
  <dcterms:modified xsi:type="dcterms:W3CDTF">2020-10-27T12:20:00Z</dcterms:modified>
</cp:coreProperties>
</file>